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15" w:leftChars="-150" w:right="-315" w:rightChars="-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spacing w:line="560" w:lineRule="exact"/>
        <w:ind w:right="-315" w:rightChars="-1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政府信息公开工作年度报告</w:t>
      </w:r>
    </w:p>
    <w:p>
      <w:pPr>
        <w:numPr>
          <w:ilvl w:val="0"/>
          <w:numId w:val="1"/>
        </w:numPr>
        <w:spacing w:line="560" w:lineRule="exact"/>
        <w:ind w:right="-315" w:rightChars="-15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315" w:rightChars="-15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今年我局没有涉及到行政审批、职业资格等下放的工作。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认真开展农机安全生产、重大动物疫病防控、农产品安全、种子监督管理、农药监督管理、长江禁渔等执法活动，并从专门渠道上报执法信息。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推进政务服务公开。积极推动农机购置补贴、拖拉机办证检审等，做好政府信息公开网、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香格里拉三农微信公众号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的更新工作，实现办事过程公开透明、可追溯、可核查，方便农户办事。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大力公开扶贫攻坚信息。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认真贯彻落实州委州政府关于特色产业精准扶贫工作的统一部署，坚持实施产业精准扶贫思路，发挥职能部门优势，以农村基础设施建设和产业扶持为抓手，走产业扶贫的路子，积极引导群众科学发展特色产业，把贫困地区优势特色产业变成精准扶贫的主打产业，统一思想，深化认识，增强责任感和紧迫感，切实转变由过去的“输血式”扶贫模式向“造血式”扶贫转变，由“要你脱贫”向现在“我要脱贫”转变，解决过去扶贫工作中“年年扶贫年年贫”的根本问题，帮助贫困群众产业发展增收致富，真正做到精准发力，精准扶贫，精准脱贫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政策执行和落实情况公开。对州委州政府要求的重要公开事项，重点工作、改革任务、民生举措，细化公开执行措施、实施步骤、责任分工、监督方式等，实事求是的公布进展情况和完成情况。推动公开审计结果，促进重大政策措施落实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增强稳增长措施公开。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设立执法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迪庆州农业农村局公开设立行政执法投诉举报电话和电子邮箱，接受广大人民群众监督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深化政府财政资金信息公开。贯彻落实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省、州相关文件精神，对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一般公共财政预决算、“三公经费”公开情况。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我局主要领导在20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11月25日上线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政风行风热线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对民众提出的重点舆论和三农政策、强农惠农富农政策、新实施的政策予以解读。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截至20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年12月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2"/>
        </w:rPr>
        <w:t>日，部门</w:t>
      </w:r>
      <w:r>
        <w:rPr>
          <w:rFonts w:hint="eastAsia" w:ascii="方正仿宋_GBK" w:hAnsi="Times New Roman" w:eastAsia="方正仿宋_GBK"/>
          <w:sz w:val="32"/>
          <w:szCs w:val="32"/>
        </w:rPr>
        <w:t>通过迪庆州人民政府门户网站发布政务信息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方正仿宋_GBK" w:eastAsia="方正仿宋_GBK"/>
          <w:color w:val="000000"/>
          <w:sz w:val="32"/>
          <w:szCs w:val="32"/>
        </w:rPr>
        <w:t>条。通过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香格里拉微三农微信公众号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208次，674篇</w:t>
      </w:r>
      <w:r>
        <w:rPr>
          <w:rFonts w:hint="eastAsia" w:ascii="方正仿宋_GBK" w:eastAsia="方正仿宋_GBK"/>
          <w:color w:val="000000"/>
          <w:sz w:val="32"/>
          <w:szCs w:val="32"/>
        </w:rPr>
        <w:t>，召开新闻发布会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000000"/>
          <w:sz w:val="32"/>
          <w:szCs w:val="32"/>
        </w:rPr>
        <w:t>次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；局长杨树奇，副局长庄群才、肖毛、赵金繁；相关科室及站所负责人一行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18人</w:t>
      </w:r>
      <w:r>
        <w:rPr>
          <w:rFonts w:hint="eastAsia" w:ascii="方正仿宋_GBK" w:eastAsia="方正仿宋_GBK"/>
          <w:color w:val="000000"/>
          <w:sz w:val="32"/>
          <w:szCs w:val="32"/>
        </w:rPr>
        <w:t>上线“政风行风热线”（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农业产业扶贫、打造“绿色食品牌”、农业农村局职能职责、非洲猪瘟疫情、农业经济指标完成等</w:t>
      </w:r>
      <w:r>
        <w:rPr>
          <w:rFonts w:hint="eastAsia" w:ascii="方正仿宋_GBK" w:eastAsia="方正仿宋_GBK"/>
          <w:color w:val="000000"/>
          <w:sz w:val="32"/>
          <w:szCs w:val="32"/>
        </w:rPr>
        <w:t>）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K" w:eastAsia="方正仿宋_GBK"/>
          <w:color w:val="000000"/>
          <w:sz w:val="32"/>
          <w:szCs w:val="32"/>
        </w:rPr>
        <w:t>办理依申请公开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color w:val="000000"/>
          <w:sz w:val="32"/>
          <w:szCs w:val="32"/>
        </w:rPr>
        <w:t>件，进行政策解读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color w:val="000000"/>
          <w:sz w:val="32"/>
          <w:szCs w:val="32"/>
        </w:rPr>
        <w:t>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“香格里拉三农”微网站发布政策解读、迪庆州农业农村局通告、通知，工作动态信息，农业使用技术、农业重要活动宣传等237期1173条。其中转载926条，自拟素材247条。其中发布政策解读131条、产业扶贫183条、人际环境整治48条、疫情防控135条、扫黑除恶19条、普法教育107条、长江禁渔15条、禁毒防艾12条、乡村振兴289条。向迪庆报社、迪庆电视台报送信息30条采纳16条、向云南农业信息网报送信息27篇，被采纳发布25篇。上报云南省农业农村厅专报6篇，简报11篇。</w:t>
      </w:r>
    </w:p>
    <w:p>
      <w:pPr>
        <w:pStyle w:val="2"/>
        <w:rPr>
          <w:rFonts w:hint="eastAsia"/>
        </w:rPr>
      </w:pPr>
    </w:p>
    <w:p>
      <w:pPr>
        <w:spacing w:line="560" w:lineRule="exact"/>
        <w:ind w:right="-315" w:rightChars="-15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主动公开政府信息情况</w:t>
      </w:r>
    </w:p>
    <w:tbl>
      <w:tblPr>
        <w:tblStyle w:val="3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843"/>
        <w:gridCol w:w="1984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信息内容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本年度制作数量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本年新公开数量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规范性文件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信息内容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上一年项目数量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本年增/减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行政许可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其他对外管理服务事项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信息内容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上一年项目数量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本年增/减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行政处罚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行政强制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信息内容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行政事业性收费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信息内容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政府集中采购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元</w:t>
            </w:r>
          </w:p>
        </w:tc>
      </w:tr>
    </w:tbl>
    <w:p>
      <w:pPr>
        <w:spacing w:line="560" w:lineRule="exact"/>
        <w:ind w:right="-315" w:rightChars="-15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560" w:lineRule="exact"/>
        <w:ind w:right="-315" w:rightChars="-15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收到和处理政府信息公开申请情况</w:t>
      </w:r>
    </w:p>
    <w:tbl>
      <w:tblPr>
        <w:tblStyle w:val="3"/>
        <w:tblW w:w="10028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66"/>
        <w:gridCol w:w="2686"/>
        <w:gridCol w:w="567"/>
        <w:gridCol w:w="709"/>
        <w:gridCol w:w="367"/>
        <w:gridCol w:w="342"/>
        <w:gridCol w:w="709"/>
        <w:gridCol w:w="708"/>
        <w:gridCol w:w="709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自然人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二、上年转结政府信息公开申请数量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三、本年度办理结果</w:t>
            </w:r>
          </w:p>
        </w:tc>
        <w:tc>
          <w:tcPr>
            <w:tcW w:w="4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（三）不予公开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（四）无法提供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3.补征后早请内容仍不明确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（五）不予处理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（七）总 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60" w:lineRule="exact"/>
        <w:ind w:left="-315" w:leftChars="-150" w:right="-315" w:rightChars="-150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751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40"/>
        <w:gridCol w:w="680"/>
        <w:gridCol w:w="700"/>
        <w:gridCol w:w="760"/>
        <w:gridCol w:w="640"/>
        <w:gridCol w:w="600"/>
        <w:gridCol w:w="600"/>
        <w:gridCol w:w="540"/>
        <w:gridCol w:w="840"/>
        <w:gridCol w:w="600"/>
        <w:gridCol w:w="540"/>
        <w:gridCol w:w="660"/>
        <w:gridCol w:w="580"/>
        <w:gridCol w:w="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结果纠正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其他结果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尚未审结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未经复议直接起诉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其他结果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尚未审结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结果维持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结果纠正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尚未审结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right="-315" w:rightChars="-15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政府信息公开行政复议、行政诉讼情况</w:t>
      </w:r>
    </w:p>
    <w:p>
      <w:pPr>
        <w:spacing w:line="560" w:lineRule="exact"/>
        <w:ind w:right="-315" w:rightChars="-15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五、存在的问题及改进情况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一是我局没有编制设立独立工作机构，没有编制配齐专职工作人员，工作人员身兼数职，对我局的政务信息公开工作的开展造成了一定的影响。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二是没有专门的经费进行政务信息的设备更新。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三是目前为止，我局兼职此项工作的同志没有专门的培训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且业务不熟练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工作人员专业性较低、业务不熟练，办公室主管的情况并未突出，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工作的前瞻性和目的性不强。</w:t>
      </w:r>
    </w:p>
    <w:p>
      <w:pPr>
        <w:spacing w:line="560" w:lineRule="exact"/>
        <w:ind w:right="-315" w:rightChars="-15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六、其它需要报告事项</w:t>
      </w:r>
    </w:p>
    <w:p>
      <w:pPr>
        <w:spacing w:line="560" w:lineRule="exact"/>
        <w:ind w:left="-315" w:leftChars="-150" w:right="-315" w:rightChars="-15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</w:t>
      </w:r>
    </w:p>
    <w:p>
      <w:pPr>
        <w:spacing w:line="560" w:lineRule="exact"/>
        <w:ind w:left="-315" w:leftChars="-150" w:right="-315" w:rightChars="-15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left="-315" w:leftChars="-150" w:right="-315" w:rightChars="-15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C7C08"/>
    <w:multiLevelType w:val="singleLevel"/>
    <w:tmpl w:val="816C7C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2172"/>
    <w:rsid w:val="005F4E53"/>
    <w:rsid w:val="05A02172"/>
    <w:rsid w:val="4FB23CB3"/>
    <w:rsid w:val="6B1B4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autoSpaceDE w:val="0"/>
      <w:autoSpaceDN w:val="0"/>
      <w:jc w:val="center"/>
    </w:pPr>
    <w:rPr>
      <w:rFonts w:ascii="宋体" w:hAnsi="宋体" w:eastAsia="宋体" w:cs="Times New Roman"/>
      <w:color w:val="000000"/>
      <w:kern w:val="0"/>
      <w:sz w:val="24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2020-02-13T08:54:00Z</dcterms:created>
  <dc:creator>王太琼</dc:creator>
  <cp:lastModifiedBy>王太琼</cp:lastModifiedBy>
  <dcterms:modified xsi:type="dcterms:W3CDTF">2021-02-26T07:44:38Z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