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hAnsi="楷体_GB2312"/>
          <w:b/>
          <w:bCs/>
          <w:color w:val="FF0000"/>
          <w:sz w:val="84"/>
          <w:szCs w:val="84"/>
          <w:lang w:eastAsia="zh-CN"/>
        </w:rPr>
      </w:pPr>
      <w:r>
        <w:rPr>
          <w:rFonts w:ascii="楷体_GB2312" w:hAnsi="楷体_GB2312"/>
          <w:b/>
          <w:bCs/>
          <w:color w:val="FF0000"/>
          <w:sz w:val="84"/>
          <w:szCs w:val="84"/>
        </w:rPr>
        <w:t>迪庆</w:t>
      </w:r>
      <w:r>
        <w:rPr>
          <w:rFonts w:hint="eastAsia" w:ascii="楷体_GB2312" w:hAnsi="楷体_GB2312"/>
          <w:b/>
          <w:bCs/>
          <w:color w:val="FF0000"/>
          <w:sz w:val="84"/>
          <w:szCs w:val="84"/>
          <w:lang w:eastAsia="zh-CN"/>
        </w:rPr>
        <w:t>州</w:t>
      </w:r>
      <w:r>
        <w:rPr>
          <w:rFonts w:ascii="楷体_GB2312" w:hAnsi="楷体_GB2312"/>
          <w:b/>
          <w:bCs/>
          <w:color w:val="FF0000"/>
          <w:sz w:val="84"/>
          <w:szCs w:val="84"/>
        </w:rPr>
        <w:t>广播电视</w:t>
      </w:r>
      <w:r>
        <w:rPr>
          <w:rFonts w:hint="eastAsia" w:ascii="楷体_GB2312" w:hAnsi="楷体_GB2312"/>
          <w:b/>
          <w:bCs/>
          <w:color w:val="FF0000"/>
          <w:sz w:val="84"/>
          <w:szCs w:val="84"/>
          <w:lang w:eastAsia="zh-CN"/>
        </w:rPr>
        <w:t>局</w:t>
      </w:r>
    </w:p>
    <w:p>
      <w:pPr>
        <w:jc w:val="center"/>
        <w:rPr>
          <w:rFonts w:hint="eastAsia" w:ascii="楷体_GB2312" w:hAnsi="华文仿宋" w:eastAsia="宋体"/>
          <w:b/>
          <w:bCs/>
          <w:color w:val="FF0000"/>
          <w:sz w:val="84"/>
          <w:szCs w:val="84"/>
          <w:lang w:eastAsia="zh-CN"/>
        </w:rPr>
      </w:pPr>
      <w:r>
        <w:rPr>
          <w:rFonts w:hint="eastAsia" w:ascii="楷体_GB2312" w:hAnsi="楷体_GB2312"/>
          <w:b/>
          <w:bCs/>
          <w:color w:val="FF0000"/>
          <w:sz w:val="84"/>
          <w:szCs w:val="84"/>
          <w:lang w:eastAsia="zh-CN"/>
        </w:rPr>
        <w:t>简报</w:t>
      </w:r>
    </w:p>
    <w:p>
      <w:pPr>
        <w:jc w:val="center"/>
        <w:rPr>
          <w:rFonts w:ascii="宋体" w:hAnsi="宋体"/>
          <w:b/>
          <w:bCs/>
          <w:color w:val="FF0000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color w:val="FF0000"/>
          <w:sz w:val="36"/>
          <w:szCs w:val="36"/>
        </w:rPr>
      </w:pPr>
      <w:r>
        <w:rPr>
          <w:rFonts w:hint="eastAsia" w:ascii="宋体" w:hAnsi="宋体"/>
          <w:b/>
          <w:bCs/>
          <w:color w:val="FF0000"/>
          <w:sz w:val="36"/>
          <w:szCs w:val="36"/>
        </w:rPr>
        <w:t xml:space="preserve">第 </w:t>
      </w:r>
      <w:r>
        <w:rPr>
          <w:rFonts w:hint="eastAsia" w:ascii="宋体" w:hAnsi="宋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 xml:space="preserve"> 期</w:t>
      </w:r>
    </w:p>
    <w:p>
      <w:pPr>
        <w:jc w:val="center"/>
        <w:rPr>
          <w:rFonts w:hint="eastAsia" w:ascii="宋体" w:hAnsi="宋体"/>
          <w:color w:val="FF0000"/>
          <w:sz w:val="36"/>
          <w:szCs w:val="36"/>
        </w:rPr>
      </w:pPr>
      <w:r>
        <w:rPr>
          <w:rFonts w:hint="eastAsia" w:ascii="宋体" w:hAnsi="宋体"/>
          <w:color w:val="FF0000"/>
          <w:sz w:val="36"/>
          <w:szCs w:val="36"/>
        </w:rPr>
        <w:t xml:space="preserve"> </w:t>
      </w:r>
      <w:bookmarkStart w:id="0" w:name="_GoBack"/>
      <w:bookmarkEnd w:id="0"/>
    </w:p>
    <w:p>
      <w:pPr>
        <w:jc w:val="center"/>
      </w:pPr>
      <w:r>
        <w:rPr>
          <w:rFonts w:hint="eastAsia" w:ascii="宋体" w:hAnsi="宋体"/>
          <w:b/>
          <w:bCs/>
          <w:color w:val="FF0000"/>
          <w:sz w:val="36"/>
          <w:szCs w:val="36"/>
        </w:rPr>
        <w:t>迪庆州广播电视局       二〇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二一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年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三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月</w:t>
      </w:r>
      <w:r>
        <w:rPr>
          <w:rFonts w:hint="eastAsia" w:ascii="宋体" w:hAnsi="宋体"/>
          <w:b/>
          <w:bCs/>
          <w:color w:val="FF0000"/>
          <w:sz w:val="36"/>
          <w:szCs w:val="36"/>
          <w:lang w:eastAsia="zh-CN"/>
        </w:rPr>
        <w:t>十一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日</w:t>
      </w:r>
      <w:r>
        <w:drawing>
          <wp:inline distT="0" distB="0" distL="0" distR="0">
            <wp:extent cx="5638800" cy="38100"/>
            <wp:effectExtent l="0" t="0" r="0" b="0"/>
            <wp:docPr id="4" name="图片 4" descr="C:\Users\user\AppData\Local\Temp\ksohtml\wpsCBC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\AppData\Local\Temp\ksohtml\wpsCBCE.t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迪庆州广播电局召开2021年全州广播电视工作座谈会</w:t>
      </w:r>
    </w:p>
    <w:p>
      <w:pPr>
        <w:ind w:firstLine="640" w:firstLineChars="200"/>
        <w:rPr>
          <w:rFonts w:hint="eastAsia" w:ascii="仿宋" w:hAnsi="仿宋" w:eastAsia="仿宋" w:cs="微软雅黑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为认真贯彻落实2021年全国宣传部长会议、全国广播电视工作会议、全省和全州宣传思想工作会议精神，加强工作交流，进一步提升全州广播电视和网络视听工作水平。3月10日上午，迪庆州召开全州广播电视工作座谈会，总结2020年广电工作，安排部署2021年重点工作任务，研究探讨做好迎接中国共产党成立一百周年广播电视宣传报道、安全播出保障以及广电媒体融合提升的思路和举措。州委宣传部副部长、文明办主任周建芳出席会议，并就进一步加强和改进广播电视和网络视听工作提出要求。</w:t>
      </w:r>
    </w:p>
    <w:p>
      <w:pPr>
        <w:tabs>
          <w:tab w:val="left" w:pos="321"/>
        </w:tabs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  <w:lang w:eastAsia="zh-CN"/>
        </w:rPr>
        <w:drawing>
          <wp:inline distT="0" distB="0" distL="114300" distR="114300">
            <wp:extent cx="5401945" cy="3703955"/>
            <wp:effectExtent l="0" t="0" r="8255" b="10795"/>
            <wp:docPr id="1" name="图片 1" descr="IMG_01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165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座谈会上，州广播电视局党组书、局长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永鹤总结了2020年工作，深刻分析了当前我州广播电视工作面临的新形势新任务新要求，对2021年全州广播电视工作进行了全面安排部署。他要求，全州广播电视行业工作者一要认清形势、树立信心，进一步明确新时代广播电视工作方向，守正创新砥砺奋进，紧扣2021年全省宣传思想工作会议精神和全州宣传思想工作会议要求，完成好2021全州广播电视重点工作目标任务；二要聚焦主责主业，履行好新时代赋予的职责使命，深刻认识新形势新任务新要求，牢牢把握广播电视高质量创新性发展的正确方向，紧扣决胜全面建成小康社会、决战脱贫攻坚与乡村振兴这条主线，聚焦阵地建设、行业管理、安全播出、脱贫攻坚、乡村振兴、队伍建设等，激发苦干实干亲自干的作风，进一步压实工作责任；三要切实增强责任感、使命感和紧迫感，准确把握新时代广电工作的“时度效”，以时不我待、只争朝夕的冲劲和韧劲，奋力开创全州广播电视工作的新局面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57800" cy="2724785"/>
            <wp:effectExtent l="0" t="0" r="0" b="18415"/>
            <wp:docPr id="2" name="图片 2" descr="IMG_01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18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州委宣传部副部长、州文明办主任周建芳对全州广电系统取得的成绩给予了充分肯定。她强调，一要切实加强宣传阵地管理，牢牢守住安全播出的底线，维护好意识形态安全。二要牢牢把握正确舆论导向，用好各级各类宣传平台，开设专栏专版，积极创作广播电视和网络视听节目精品。三要充分整合宣传、广电等部门资源，提升广播电视媒体和新媒体的传播力，着力推动媒体融合发展，积极培育新业态、推出新产品。四要积极探索广播电视公共服务标准化建设的迪庆路径，努力形成可复制推广的迪庆经验。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用好现有应急广播平台及基层宣传设施设备，提升建设成果应用水平，通过喜闻乐见的方式，强化基层政策宣传、理论宣讲、信息服务的能力。六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进一步理顺管理体制机制，深化职能改革，强化人力资源调配，加强系统沟通，整合各方面力量，形成共同推动工作的合力。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drawing>
          <wp:inline distT="0" distB="0" distL="114300" distR="114300">
            <wp:extent cx="5257800" cy="3128010"/>
            <wp:effectExtent l="0" t="0" r="0" b="15240"/>
            <wp:docPr id="3" name="图片 3" descr="IMG_01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018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座谈会上，州广播电视台、州广电网络公司、迪庆电信公司、迪庆移动公司、迪庆联通公司、各县（市）委宣传部、融媒体中心以及州局机关各科室、各事业单位参会人员围绕建党100周年宣传报道、安全播出保障、媒体融合发展等2021年度重点工作进行了交流发言，从不同角度交流了工作经验和体会，并联系工作实际提出了许多有益的意见和建议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p/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（此页无正文）</w:t>
      </w: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b w:val="0"/>
          <w:bCs w:val="0"/>
        </w:rPr>
      </w:pPr>
    </w:p>
    <w:p>
      <w:pPr>
        <w:pStyle w:val="4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</w:rPr>
        <w:drawing>
          <wp:inline distT="0" distB="0" distL="0" distR="0">
            <wp:extent cx="5286375" cy="38100"/>
            <wp:effectExtent l="0" t="0" r="9525" b="0"/>
            <wp:docPr id="5" name="图片 5" descr="C:\Users\ADMINI~1\AppData\Local\Temp\ksohtml\wpsE970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ksohtml\wpsE970.t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报：省广播电视局，孔维华部长、松涛巡视员。</w:t>
      </w:r>
    </w:p>
    <w:p>
      <w:pPr>
        <w:pStyle w:val="4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送：州委办，州委组织部，州委宣传部，州政府办，州广播电视台。</w:t>
      </w:r>
    </w:p>
    <w:p>
      <w:pPr>
        <w:pStyle w:val="4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发：三县（市）委宣传部、融媒体中心</w:t>
      </w:r>
    </w:p>
    <w:p>
      <w:pPr>
        <w:pStyle w:val="4"/>
        <w:rPr>
          <w:rFonts w:hint="eastAsia" w:ascii="仿宋" w:hAnsi="仿宋" w:eastAsia="仿宋"/>
          <w:sz w:val="32"/>
          <w:szCs w:val="32"/>
        </w:rPr>
      </w:pPr>
      <w:r>
        <w:rPr>
          <w:b w:val="0"/>
          <w:bCs w:val="0"/>
        </w:rPr>
        <w:drawing>
          <wp:inline distT="0" distB="0" distL="0" distR="0">
            <wp:extent cx="5286375" cy="38100"/>
            <wp:effectExtent l="0" t="0" r="9525" b="0"/>
            <wp:docPr id="10" name="图片 10" descr="C:\Users\ADMINI~1\AppData\Local\Temp\ksohtml\wpsE970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ksohtml\wpsE970.t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</w:rPr>
        <w:t>迪庆州广播电视局印发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日印发</w:t>
      </w:r>
    </w:p>
    <w:p>
      <w:pPr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drawing>
          <wp:inline distT="0" distB="0" distL="0" distR="0">
            <wp:extent cx="5286375" cy="38100"/>
            <wp:effectExtent l="0" t="0" r="9525" b="0"/>
            <wp:docPr id="11" name="图片 11" descr="C:\Users\ADMINI~1\AppData\Local\Temp\ksohtml\wpsE971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ksohtml\wpsE971.t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06F07"/>
    <w:rsid w:val="06CB3E08"/>
    <w:rsid w:val="0B8F3FB6"/>
    <w:rsid w:val="13FC02A5"/>
    <w:rsid w:val="15BB03EB"/>
    <w:rsid w:val="1C006F07"/>
    <w:rsid w:val="23851105"/>
    <w:rsid w:val="24A429BB"/>
    <w:rsid w:val="25AA723E"/>
    <w:rsid w:val="382C75BF"/>
    <w:rsid w:val="3C476B21"/>
    <w:rsid w:val="45B074AD"/>
    <w:rsid w:val="47336112"/>
    <w:rsid w:val="544A03AB"/>
    <w:rsid w:val="6F1255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0"/>
    <w:pPr>
      <w:widowControl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2021-03-10T09:17:00Z</dcterms:created>
  <dc:creator>金小平</dc:creator>
  <cp:lastModifiedBy>熊鹰</cp:lastModifiedBy>
  <dcterms:modified xsi:type="dcterms:W3CDTF">2021-03-11T02:17:14Z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