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楷体" w:hAnsi="华文楷体" w:eastAsia="华文楷体" w:cs="华文楷体"/>
          <w:b/>
          <w:bCs w:val="0"/>
          <w:kern w:val="0"/>
          <w:sz w:val="44"/>
          <w:szCs w:val="44"/>
        </w:rPr>
      </w:pPr>
      <w:r>
        <w:rPr>
          <w:rFonts w:hint="eastAsia" w:ascii="华文楷体" w:hAnsi="华文楷体" w:eastAsia="华文楷体" w:cs="华文楷体"/>
          <w:b/>
          <w:bCs w:val="0"/>
          <w:sz w:val="44"/>
          <w:szCs w:val="44"/>
          <w:lang w:eastAsia="zh-CN"/>
        </w:rPr>
        <w:t>迪庆州卫生计生执法监督局</w:t>
      </w:r>
      <w:r>
        <w:rPr>
          <w:rFonts w:hint="eastAsia" w:ascii="华文楷体" w:hAnsi="华文楷体" w:eastAsia="华文楷体" w:cs="华文楷体"/>
          <w:b/>
          <w:bCs w:val="0"/>
          <w:sz w:val="44"/>
          <w:szCs w:val="44"/>
          <w:lang w:val="en-US" w:eastAsia="zh-CN"/>
        </w:rPr>
        <w:t>2021</w:t>
      </w:r>
      <w:r>
        <w:rPr>
          <w:rFonts w:hint="eastAsia" w:ascii="华文楷体" w:hAnsi="华文楷体" w:eastAsia="华文楷体" w:cs="华文楷体"/>
          <w:b/>
          <w:bCs w:val="0"/>
          <w:kern w:val="0"/>
          <w:sz w:val="44"/>
          <w:szCs w:val="44"/>
        </w:rPr>
        <w:t>年部门预算编制说明</w:t>
      </w:r>
    </w:p>
    <w:p>
      <w:pPr>
        <w:widowControl/>
        <w:jc w:val="left"/>
        <w:rPr>
          <w:rFonts w:hint="eastAsia" w:ascii="华文楷体" w:hAnsi="华文楷体" w:eastAsia="华文楷体" w:cs="华文楷体"/>
          <w:kern w:val="0"/>
          <w:sz w:val="30"/>
          <w:szCs w:val="30"/>
        </w:rPr>
      </w:pPr>
    </w:p>
    <w:p>
      <w:pPr>
        <w:widowControl/>
        <w:jc w:val="left"/>
        <w:rPr>
          <w:rFonts w:hint="eastAsia" w:ascii="华文楷体" w:hAnsi="华文楷体" w:eastAsia="华文楷体" w:cs="华文楷体"/>
          <w:kern w:val="0"/>
          <w:sz w:val="32"/>
          <w:szCs w:val="32"/>
        </w:rPr>
      </w:pPr>
      <w:r>
        <w:rPr>
          <w:rFonts w:hint="eastAsia" w:ascii="华文楷体" w:hAnsi="华文楷体" w:eastAsia="华文楷体" w:cs="华文楷体"/>
          <w:b/>
          <w:bCs/>
          <w:kern w:val="0"/>
          <w:sz w:val="32"/>
          <w:szCs w:val="32"/>
        </w:rPr>
        <w:t>一、基本职能及主要工作</w:t>
      </w:r>
    </w:p>
    <w:p>
      <w:pPr>
        <w:widowControl/>
        <w:ind w:firstLine="320" w:firstLineChars="100"/>
        <w:jc w:val="left"/>
        <w:rPr>
          <w:rFonts w:hint="eastAsia" w:ascii="华文楷体" w:hAnsi="华文楷体" w:eastAsia="华文楷体" w:cs="华文楷体"/>
          <w:b/>
          <w:kern w:val="0"/>
          <w:sz w:val="32"/>
          <w:szCs w:val="32"/>
        </w:rPr>
      </w:pPr>
      <w:r>
        <w:rPr>
          <w:rFonts w:hint="eastAsia" w:ascii="华文楷体" w:hAnsi="华文楷体" w:eastAsia="华文楷体" w:cs="华文楷体"/>
          <w:kern w:val="0"/>
          <w:sz w:val="32"/>
          <w:szCs w:val="32"/>
        </w:rPr>
        <w:t>（一）部门主要职责</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(1)、组织实施</w:t>
      </w:r>
      <w:r>
        <w:rPr>
          <w:rFonts w:hint="eastAsia" w:ascii="华文楷体" w:hAnsi="华文楷体" w:eastAsia="华文楷体" w:cs="华文楷体"/>
          <w:kern w:val="0"/>
          <w:sz w:val="32"/>
          <w:szCs w:val="32"/>
          <w:lang w:eastAsia="zh-CN"/>
        </w:rPr>
        <w:t>上级</w:t>
      </w:r>
      <w:r>
        <w:rPr>
          <w:rFonts w:hint="eastAsia" w:ascii="华文楷体" w:hAnsi="华文楷体" w:eastAsia="华文楷体" w:cs="华文楷体"/>
          <w:kern w:val="0"/>
          <w:sz w:val="32"/>
          <w:szCs w:val="32"/>
        </w:rPr>
        <w:t>全州卫生监督工作规划，对下级卫生监督工作进行检查和指导；</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(2)、依法开展医疗卫生和传染病防治、放射卫生、消毒产品卫生、饮用水卫生、学校卫生、公共场所卫生等的卫生监督工作；</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(3)、依法受理和审核公共场所卫生行政许可申请；</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(4)、依法对新建、改建、扩建大中型工程建设项目和技术改造、技术引进项目进行预防性卫生监督的卫生审核、审查和验收；</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(5)、对饮水污染事故及其他突发公共卫生事件的调查处理；</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(6)、对群众投诉、举报的违法行为进行调查处理；</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(7)、开展卫生法律、法规的宣传、咨询；</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(8)、负责对下级卫生监督机构监督执法人员的业务培训；</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(9)、依法对传染病防治工作实行监督；</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(10)、对传染病的预防、治疗、控制和疫情管理措施进行监督、检查；</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(11)、对违反《传染病防治法》的行为进行查处；</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(12)、对违反《消毒管理办法》及有关卫生法律、法规的行为进行查处；</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(13)、参与对放射事故的调查处理；</w:t>
      </w:r>
    </w:p>
    <w:p>
      <w:pPr>
        <w:widowControl/>
        <w:spacing w:line="360" w:lineRule="auto"/>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(14)、依法对各类医疗机构、采供血机构实行卫生监督；</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(15)、对违反《执业医师法》、《献血法》、《医疗机构管理条例》等法律、法规的行为进行查处；</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(16)、对学校内影响学生健康的饮用水等方面的卫生和传染病防治工作实行监督；</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w:t>
      </w:r>
      <w:r>
        <w:rPr>
          <w:rFonts w:hint="eastAsia" w:ascii="华文楷体" w:hAnsi="华文楷体" w:eastAsia="华文楷体" w:cs="华文楷体"/>
          <w:kern w:val="0"/>
          <w:sz w:val="32"/>
          <w:szCs w:val="32"/>
          <w:lang w:val="en-US" w:eastAsia="zh-CN"/>
        </w:rPr>
        <w:t>7</w:t>
      </w:r>
      <w:r>
        <w:rPr>
          <w:rFonts w:hint="eastAsia" w:ascii="华文楷体" w:hAnsi="华文楷体" w:eastAsia="华文楷体" w:cs="华文楷体"/>
          <w:kern w:val="0"/>
          <w:sz w:val="32"/>
          <w:szCs w:val="32"/>
        </w:rPr>
        <w:t>)、对违反《学校卫生工作条例》的行为进行查处；</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w:t>
      </w:r>
      <w:r>
        <w:rPr>
          <w:rFonts w:hint="eastAsia" w:ascii="华文楷体" w:hAnsi="华文楷体" w:eastAsia="华文楷体" w:cs="华文楷体"/>
          <w:kern w:val="0"/>
          <w:sz w:val="32"/>
          <w:szCs w:val="32"/>
          <w:lang w:val="en-US" w:eastAsia="zh-CN"/>
        </w:rPr>
        <w:t>8</w:t>
      </w:r>
      <w:r>
        <w:rPr>
          <w:rFonts w:hint="eastAsia" w:ascii="华文楷体" w:hAnsi="华文楷体" w:eastAsia="华文楷体" w:cs="华文楷体"/>
          <w:kern w:val="0"/>
          <w:sz w:val="32"/>
          <w:szCs w:val="32"/>
        </w:rPr>
        <w:t>)、对公共场所的经营活动实行卫生监督；</w:t>
      </w:r>
    </w:p>
    <w:p>
      <w:pPr>
        <w:widowControl/>
        <w:spacing w:line="360" w:lineRule="auto"/>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(1</w:t>
      </w:r>
      <w:r>
        <w:rPr>
          <w:rFonts w:hint="eastAsia" w:ascii="华文楷体" w:hAnsi="华文楷体" w:eastAsia="华文楷体" w:cs="华文楷体"/>
          <w:kern w:val="0"/>
          <w:sz w:val="32"/>
          <w:szCs w:val="32"/>
          <w:lang w:val="en-US" w:eastAsia="zh-CN"/>
        </w:rPr>
        <w:t>9</w:t>
      </w:r>
      <w:r>
        <w:rPr>
          <w:rFonts w:hint="eastAsia" w:ascii="华文楷体" w:hAnsi="华文楷体" w:eastAsia="华文楷体" w:cs="华文楷体"/>
          <w:kern w:val="0"/>
          <w:sz w:val="32"/>
          <w:szCs w:val="32"/>
        </w:rPr>
        <w:t>)、对违反《公共场所卫生管理条例》的行为进行查处。</w:t>
      </w:r>
    </w:p>
    <w:p>
      <w:pPr>
        <w:widowControl/>
        <w:ind w:firstLine="320" w:firstLineChars="1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（二）机构设置情况</w:t>
      </w:r>
    </w:p>
    <w:p>
      <w:pPr>
        <w:ind w:firstLine="320" w:firstLineChars="100"/>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本单位</w:t>
      </w:r>
      <w:r>
        <w:rPr>
          <w:rFonts w:hint="eastAsia" w:ascii="华文楷体" w:hAnsi="华文楷体" w:eastAsia="华文楷体" w:cs="华文楷体"/>
          <w:sz w:val="32"/>
          <w:szCs w:val="32"/>
        </w:rPr>
        <w:t>为参照公务员管理单位，机构编制数10人，</w:t>
      </w:r>
      <w:r>
        <w:rPr>
          <w:rFonts w:hint="eastAsia" w:ascii="华文楷体" w:hAnsi="华文楷体" w:eastAsia="华文楷体" w:cs="华文楷体"/>
          <w:sz w:val="32"/>
          <w:szCs w:val="32"/>
          <w:lang w:eastAsia="zh-CN"/>
        </w:rPr>
        <w:t>退休返在</w:t>
      </w:r>
      <w:r>
        <w:rPr>
          <w:rFonts w:hint="eastAsia" w:ascii="华文楷体" w:hAnsi="华文楷体" w:eastAsia="华文楷体" w:cs="华文楷体"/>
          <w:sz w:val="32"/>
          <w:szCs w:val="32"/>
          <w:lang w:val="en-US" w:eastAsia="zh-CN"/>
        </w:rPr>
        <w:t>2人，正式</w:t>
      </w:r>
      <w:r>
        <w:rPr>
          <w:rFonts w:hint="eastAsia" w:ascii="华文楷体" w:hAnsi="华文楷体" w:eastAsia="华文楷体" w:cs="华文楷体"/>
          <w:sz w:val="32"/>
          <w:szCs w:val="32"/>
        </w:rPr>
        <w:t>退休1人，共11人，车辆编制数</w:t>
      </w:r>
      <w:r>
        <w:rPr>
          <w:rFonts w:hint="eastAsia" w:ascii="华文楷体" w:hAnsi="华文楷体" w:eastAsia="华文楷体" w:cs="华文楷体"/>
          <w:sz w:val="32"/>
          <w:szCs w:val="32"/>
          <w:lang w:val="en-US" w:eastAsia="zh-CN"/>
        </w:rPr>
        <w:t>1</w:t>
      </w:r>
      <w:r>
        <w:rPr>
          <w:rFonts w:hint="eastAsia" w:ascii="华文楷体" w:hAnsi="华文楷体" w:eastAsia="华文楷体" w:cs="华文楷体"/>
          <w:sz w:val="32"/>
          <w:szCs w:val="32"/>
        </w:rPr>
        <w:t>辆，实有</w:t>
      </w:r>
      <w:r>
        <w:rPr>
          <w:rFonts w:hint="eastAsia" w:ascii="华文楷体" w:hAnsi="华文楷体" w:eastAsia="华文楷体" w:cs="华文楷体"/>
          <w:sz w:val="32"/>
          <w:szCs w:val="32"/>
          <w:lang w:eastAsia="zh-CN"/>
        </w:rPr>
        <w:t>应急保障</w:t>
      </w:r>
      <w:r>
        <w:rPr>
          <w:rFonts w:hint="eastAsia" w:ascii="华文楷体" w:hAnsi="华文楷体" w:eastAsia="华文楷体" w:cs="华文楷体"/>
          <w:sz w:val="32"/>
          <w:szCs w:val="32"/>
        </w:rPr>
        <w:t>用车</w:t>
      </w:r>
      <w:r>
        <w:rPr>
          <w:rFonts w:hint="eastAsia" w:ascii="华文楷体" w:hAnsi="华文楷体" w:eastAsia="华文楷体" w:cs="华文楷体"/>
          <w:sz w:val="32"/>
          <w:szCs w:val="32"/>
          <w:lang w:val="en-US" w:eastAsia="zh-CN"/>
        </w:rPr>
        <w:t>1</w:t>
      </w:r>
      <w:r>
        <w:rPr>
          <w:rFonts w:hint="eastAsia" w:ascii="华文楷体" w:hAnsi="华文楷体" w:eastAsia="华文楷体" w:cs="华文楷体"/>
          <w:sz w:val="32"/>
          <w:szCs w:val="32"/>
        </w:rPr>
        <w:t>辆，设</w:t>
      </w: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室三科</w:t>
      </w:r>
      <w:r>
        <w:rPr>
          <w:rFonts w:hint="eastAsia" w:ascii="华文楷体" w:hAnsi="华文楷体" w:eastAsia="华文楷体" w:cs="华文楷体"/>
          <w:sz w:val="32"/>
          <w:szCs w:val="32"/>
          <w:lang w:val="en-US" w:eastAsia="zh-CN"/>
        </w:rPr>
        <w:t>:局</w:t>
      </w:r>
      <w:r>
        <w:rPr>
          <w:rFonts w:hint="eastAsia" w:ascii="华文楷体" w:hAnsi="华文楷体" w:eastAsia="华文楷体" w:cs="华文楷体"/>
          <w:sz w:val="32"/>
          <w:szCs w:val="32"/>
        </w:rPr>
        <w:t>长室、副</w:t>
      </w:r>
      <w:r>
        <w:rPr>
          <w:rFonts w:hint="eastAsia" w:ascii="华文楷体" w:hAnsi="华文楷体" w:eastAsia="华文楷体" w:cs="华文楷体"/>
          <w:sz w:val="32"/>
          <w:szCs w:val="32"/>
          <w:lang w:eastAsia="zh-CN"/>
        </w:rPr>
        <w:t>局</w:t>
      </w:r>
      <w:r>
        <w:rPr>
          <w:rFonts w:hint="eastAsia" w:ascii="华文楷体" w:hAnsi="华文楷体" w:eastAsia="华文楷体" w:cs="华文楷体"/>
          <w:sz w:val="32"/>
          <w:szCs w:val="32"/>
        </w:rPr>
        <w:t>长室</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办公室(会议室)、监督一科、监督二科、监督三科。</w:t>
      </w:r>
    </w:p>
    <w:p>
      <w:pPr>
        <w:widowControl/>
        <w:ind w:firstLine="320" w:firstLineChars="100"/>
        <w:jc w:val="left"/>
        <w:rPr>
          <w:rFonts w:hint="eastAsia" w:ascii="华文楷体" w:hAnsi="华文楷体" w:eastAsia="华文楷体" w:cs="华文楷体"/>
          <w:snapToGrid w:val="0"/>
          <w:sz w:val="32"/>
          <w:szCs w:val="32"/>
        </w:rPr>
      </w:pPr>
      <w:r>
        <w:rPr>
          <w:rFonts w:hint="eastAsia" w:ascii="华文楷体" w:hAnsi="华文楷体" w:eastAsia="华文楷体" w:cs="华文楷体"/>
          <w:kern w:val="0"/>
          <w:sz w:val="32"/>
          <w:szCs w:val="32"/>
        </w:rPr>
        <w:t>（三）重点工作概述</w:t>
      </w:r>
    </w:p>
    <w:p>
      <w:pPr>
        <w:spacing w:line="520" w:lineRule="exact"/>
        <w:ind w:firstLine="640" w:firstLineChars="200"/>
        <w:jc w:val="both"/>
        <w:rPr>
          <w:rFonts w:hint="eastAsia" w:ascii="华文楷体" w:hAnsi="华文楷体" w:eastAsia="华文楷体" w:cs="华文楷体"/>
          <w:snapToGrid w:val="0"/>
          <w:sz w:val="32"/>
          <w:szCs w:val="32"/>
        </w:rPr>
      </w:pPr>
      <w:r>
        <w:rPr>
          <w:rFonts w:hint="eastAsia" w:ascii="华文楷体" w:hAnsi="华文楷体" w:eastAsia="华文楷体" w:cs="华文楷体"/>
          <w:kern w:val="0"/>
          <w:sz w:val="32"/>
          <w:szCs w:val="32"/>
        </w:rPr>
        <w:t>认真贯彻落实习近平新时代中国特色社会主义思想和党的十九大精神，</w:t>
      </w:r>
      <w:r>
        <w:rPr>
          <w:rFonts w:hint="eastAsia" w:ascii="华文楷体" w:hAnsi="华文楷体" w:eastAsia="华文楷体" w:cs="华文楷体"/>
          <w:sz w:val="32"/>
          <w:szCs w:val="32"/>
        </w:rPr>
        <w:t>加强党建及党风廉政建设，</w:t>
      </w:r>
      <w:r>
        <w:rPr>
          <w:rFonts w:hint="eastAsia" w:ascii="华文楷体" w:hAnsi="华文楷体" w:eastAsia="华文楷体" w:cs="华文楷体"/>
          <w:kern w:val="0"/>
          <w:sz w:val="32"/>
          <w:szCs w:val="32"/>
        </w:rPr>
        <w:t>紧紧围绕迪庆州卫生健康委20</w:t>
      </w:r>
      <w:r>
        <w:rPr>
          <w:rFonts w:hint="eastAsia" w:ascii="华文楷体" w:hAnsi="华文楷体" w:eastAsia="华文楷体" w:cs="华文楷体"/>
          <w:kern w:val="0"/>
          <w:sz w:val="32"/>
          <w:szCs w:val="32"/>
          <w:lang w:val="en-US" w:eastAsia="zh-CN"/>
        </w:rPr>
        <w:t>21</w:t>
      </w:r>
      <w:r>
        <w:rPr>
          <w:rFonts w:hint="eastAsia" w:ascii="华文楷体" w:hAnsi="华文楷体" w:eastAsia="华文楷体" w:cs="华文楷体"/>
          <w:kern w:val="0"/>
          <w:sz w:val="32"/>
          <w:szCs w:val="32"/>
        </w:rPr>
        <w:t>年卫生健康综合监督工作要点，</w:t>
      </w:r>
      <w:r>
        <w:rPr>
          <w:rFonts w:hint="eastAsia" w:ascii="华文楷体" w:hAnsi="华文楷体" w:eastAsia="华文楷体" w:cs="华文楷体"/>
          <w:sz w:val="32"/>
          <w:szCs w:val="32"/>
        </w:rPr>
        <w:t>严格依法履职，加大执法力度，</w:t>
      </w:r>
      <w:r>
        <w:rPr>
          <w:rFonts w:hint="eastAsia" w:ascii="华文楷体" w:hAnsi="华文楷体" w:eastAsia="华文楷体" w:cs="华文楷体"/>
          <w:snapToGrid w:val="0"/>
          <w:sz w:val="32"/>
          <w:szCs w:val="32"/>
        </w:rPr>
        <w:t>围绕迪庆州卫</w:t>
      </w:r>
      <w:r>
        <w:rPr>
          <w:rFonts w:hint="eastAsia" w:ascii="华文楷体" w:hAnsi="华文楷体" w:eastAsia="华文楷体" w:cs="华文楷体"/>
          <w:snapToGrid w:val="0"/>
          <w:sz w:val="32"/>
          <w:szCs w:val="32"/>
          <w:lang w:eastAsia="zh-CN"/>
        </w:rPr>
        <w:t>健</w:t>
      </w:r>
      <w:r>
        <w:rPr>
          <w:rFonts w:hint="eastAsia" w:ascii="华文楷体" w:hAnsi="华文楷体" w:eastAsia="华文楷体" w:cs="华文楷体"/>
          <w:snapToGrid w:val="0"/>
          <w:sz w:val="32"/>
          <w:szCs w:val="32"/>
        </w:rPr>
        <w:t>委20</w:t>
      </w:r>
      <w:r>
        <w:rPr>
          <w:rFonts w:hint="eastAsia" w:ascii="华文楷体" w:hAnsi="华文楷体" w:eastAsia="华文楷体" w:cs="华文楷体"/>
          <w:snapToGrid w:val="0"/>
          <w:sz w:val="32"/>
          <w:szCs w:val="32"/>
          <w:lang w:val="en-US" w:eastAsia="zh-CN"/>
        </w:rPr>
        <w:t>21</w:t>
      </w:r>
      <w:r>
        <w:rPr>
          <w:rFonts w:hint="eastAsia" w:ascii="华文楷体" w:hAnsi="华文楷体" w:eastAsia="华文楷体" w:cs="华文楷体"/>
          <w:snapToGrid w:val="0"/>
          <w:sz w:val="32"/>
          <w:szCs w:val="32"/>
        </w:rPr>
        <w:t>年工作责任目标及本局20</w:t>
      </w:r>
      <w:r>
        <w:rPr>
          <w:rFonts w:hint="eastAsia" w:ascii="华文楷体" w:hAnsi="华文楷体" w:eastAsia="华文楷体" w:cs="华文楷体"/>
          <w:snapToGrid w:val="0"/>
          <w:sz w:val="32"/>
          <w:szCs w:val="32"/>
          <w:lang w:val="en-US" w:eastAsia="zh-CN"/>
        </w:rPr>
        <w:t>21</w:t>
      </w:r>
      <w:r>
        <w:rPr>
          <w:rFonts w:hint="eastAsia" w:ascii="华文楷体" w:hAnsi="华文楷体" w:eastAsia="华文楷体" w:cs="华文楷体"/>
          <w:snapToGrid w:val="0"/>
          <w:sz w:val="32"/>
          <w:szCs w:val="32"/>
        </w:rPr>
        <w:t>年工作计划，开展以医疗卫生、公共场所卫生、饮用水卫生、传染病防治、放射卫生、学校卫生、职业卫生、采供血卫生、消毒产品卫生等为监督重点的卫生监督执法工作，有力推动卫生</w:t>
      </w:r>
      <w:r>
        <w:rPr>
          <w:rFonts w:hint="eastAsia" w:ascii="华文楷体" w:hAnsi="华文楷体" w:eastAsia="华文楷体" w:cs="华文楷体"/>
          <w:snapToGrid w:val="0"/>
          <w:sz w:val="32"/>
          <w:szCs w:val="32"/>
          <w:lang w:eastAsia="zh-CN"/>
        </w:rPr>
        <w:t>执法</w:t>
      </w:r>
      <w:r>
        <w:rPr>
          <w:rFonts w:hint="eastAsia" w:ascii="华文楷体" w:hAnsi="华文楷体" w:eastAsia="华文楷体" w:cs="华文楷体"/>
          <w:snapToGrid w:val="0"/>
          <w:sz w:val="32"/>
          <w:szCs w:val="32"/>
        </w:rPr>
        <w:t>监督工作，</w:t>
      </w:r>
      <w:r>
        <w:rPr>
          <w:rFonts w:hint="eastAsia" w:ascii="华文楷体" w:hAnsi="华文楷体" w:eastAsia="华文楷体" w:cs="华文楷体"/>
          <w:snapToGrid w:val="0"/>
          <w:sz w:val="32"/>
          <w:szCs w:val="32"/>
          <w:lang w:eastAsia="zh-CN"/>
        </w:rPr>
        <w:t>进一步</w:t>
      </w:r>
      <w:r>
        <w:rPr>
          <w:rFonts w:hint="eastAsia" w:ascii="华文楷体" w:hAnsi="华文楷体" w:eastAsia="华文楷体" w:cs="华文楷体"/>
          <w:snapToGrid w:val="0"/>
          <w:sz w:val="32"/>
          <w:szCs w:val="32"/>
        </w:rPr>
        <w:t>有效维护广大人民群众身体健康和生命安全。</w:t>
      </w:r>
    </w:p>
    <w:p>
      <w:pPr>
        <w:widowControl/>
        <w:jc w:val="left"/>
        <w:rPr>
          <w:rFonts w:hint="eastAsia" w:ascii="华文楷体" w:hAnsi="华文楷体" w:eastAsia="华文楷体" w:cs="华文楷体"/>
          <w:kern w:val="0"/>
          <w:sz w:val="32"/>
          <w:szCs w:val="32"/>
        </w:rPr>
      </w:pPr>
      <w:r>
        <w:rPr>
          <w:rFonts w:hint="eastAsia" w:ascii="华文楷体" w:hAnsi="华文楷体" w:eastAsia="华文楷体" w:cs="华文楷体"/>
          <w:b/>
          <w:bCs/>
          <w:kern w:val="0"/>
          <w:sz w:val="32"/>
          <w:szCs w:val="32"/>
        </w:rPr>
        <w:t>二、预算单位基本情况</w:t>
      </w:r>
    </w:p>
    <w:p>
      <w:pPr>
        <w:widowControl/>
        <w:ind w:firstLine="640" w:firstLineChars="2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我部门编制</w:t>
      </w:r>
      <w:r>
        <w:rPr>
          <w:rFonts w:hint="eastAsia" w:ascii="华文楷体" w:hAnsi="华文楷体" w:eastAsia="华文楷体" w:cs="华文楷体"/>
          <w:kern w:val="0"/>
          <w:sz w:val="32"/>
          <w:szCs w:val="32"/>
          <w:lang w:val="en-US" w:eastAsia="zh-CN"/>
        </w:rPr>
        <w:t>2021</w:t>
      </w:r>
      <w:r>
        <w:rPr>
          <w:rFonts w:hint="eastAsia" w:ascii="华文楷体" w:hAnsi="华文楷体" w:eastAsia="华文楷体" w:cs="华文楷体"/>
          <w:kern w:val="0"/>
          <w:sz w:val="32"/>
          <w:szCs w:val="32"/>
        </w:rPr>
        <w:t>年部门预算单位共</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个。其中：财政全供给单位</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个；部分供给单位</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个；特殊供给单位</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个；自收自支单位</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个。财政全供给单位中行政单位</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个；参公管理事业单位</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个；非参公管理事业单位</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个。截止20</w:t>
      </w:r>
      <w:r>
        <w:rPr>
          <w:rFonts w:hint="eastAsia" w:ascii="华文楷体" w:hAnsi="华文楷体" w:eastAsia="华文楷体" w:cs="华文楷体"/>
          <w:kern w:val="0"/>
          <w:sz w:val="32"/>
          <w:szCs w:val="32"/>
          <w:lang w:val="en-US" w:eastAsia="zh-CN"/>
        </w:rPr>
        <w:t>21</w:t>
      </w:r>
      <w:r>
        <w:rPr>
          <w:rFonts w:hint="eastAsia" w:ascii="华文楷体" w:hAnsi="华文楷体" w:eastAsia="华文楷体" w:cs="华文楷体"/>
          <w:kern w:val="0"/>
          <w:sz w:val="32"/>
          <w:szCs w:val="32"/>
        </w:rPr>
        <w:t>年1</w:t>
      </w:r>
      <w:r>
        <w:rPr>
          <w:rFonts w:hint="eastAsia" w:ascii="华文楷体" w:hAnsi="华文楷体" w:eastAsia="华文楷体" w:cs="华文楷体"/>
          <w:kern w:val="0"/>
          <w:sz w:val="32"/>
          <w:szCs w:val="32"/>
          <w:lang w:val="en-US" w:eastAsia="zh-CN"/>
        </w:rPr>
        <w:t>2</w:t>
      </w:r>
      <w:r>
        <w:rPr>
          <w:rFonts w:hint="eastAsia" w:ascii="华文楷体" w:hAnsi="华文楷体" w:eastAsia="华文楷体" w:cs="华文楷体"/>
          <w:kern w:val="0"/>
          <w:sz w:val="32"/>
          <w:szCs w:val="32"/>
        </w:rPr>
        <w:t>月统计，部门基本情况如下：</w:t>
      </w:r>
    </w:p>
    <w:p>
      <w:pPr>
        <w:widowControl/>
        <w:ind w:firstLine="640" w:firstLineChars="2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在职人员编制</w:t>
      </w:r>
      <w:r>
        <w:rPr>
          <w:rFonts w:hint="eastAsia" w:ascii="华文楷体" w:hAnsi="华文楷体" w:eastAsia="华文楷体" w:cs="华文楷体"/>
          <w:kern w:val="0"/>
          <w:sz w:val="32"/>
          <w:szCs w:val="32"/>
          <w:lang w:val="en-US" w:eastAsia="zh-CN"/>
        </w:rPr>
        <w:t>10</w:t>
      </w:r>
      <w:r>
        <w:rPr>
          <w:rFonts w:hint="eastAsia" w:ascii="华文楷体" w:hAnsi="华文楷体" w:eastAsia="华文楷体" w:cs="华文楷体"/>
          <w:kern w:val="0"/>
          <w:sz w:val="32"/>
          <w:szCs w:val="32"/>
        </w:rPr>
        <w:t xml:space="preserve">人，其中：行政编制 </w:t>
      </w:r>
      <w:r>
        <w:rPr>
          <w:rFonts w:hint="eastAsia" w:ascii="华文楷体" w:hAnsi="华文楷体" w:eastAsia="华文楷体" w:cs="华文楷体"/>
          <w:kern w:val="0"/>
          <w:sz w:val="32"/>
          <w:szCs w:val="32"/>
          <w:lang w:val="en-US" w:eastAsia="zh-CN"/>
        </w:rPr>
        <w:t>10</w:t>
      </w:r>
      <w:r>
        <w:rPr>
          <w:rFonts w:hint="eastAsia" w:ascii="华文楷体" w:hAnsi="华文楷体" w:eastAsia="华文楷体" w:cs="华文楷体"/>
          <w:kern w:val="0"/>
          <w:sz w:val="32"/>
          <w:szCs w:val="32"/>
        </w:rPr>
        <w:t>人，事业编制</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人。在职实有</w:t>
      </w:r>
      <w:r>
        <w:rPr>
          <w:rFonts w:hint="eastAsia" w:ascii="华文楷体" w:hAnsi="华文楷体" w:eastAsia="华文楷体" w:cs="华文楷体"/>
          <w:kern w:val="0"/>
          <w:sz w:val="32"/>
          <w:szCs w:val="32"/>
          <w:lang w:val="en-US" w:eastAsia="zh-CN"/>
        </w:rPr>
        <w:t>6</w:t>
      </w:r>
      <w:r>
        <w:rPr>
          <w:rFonts w:hint="eastAsia" w:ascii="华文楷体" w:hAnsi="华文楷体" w:eastAsia="华文楷体" w:cs="华文楷体"/>
          <w:kern w:val="0"/>
          <w:sz w:val="32"/>
          <w:szCs w:val="32"/>
        </w:rPr>
        <w:t>人</w:t>
      </w:r>
      <w:r>
        <w:rPr>
          <w:rFonts w:hint="eastAsia" w:ascii="华文楷体" w:hAnsi="华文楷体" w:eastAsia="华文楷体" w:cs="华文楷体"/>
          <w:kern w:val="0"/>
          <w:sz w:val="32"/>
          <w:szCs w:val="32"/>
          <w:lang w:eastAsia="zh-CN"/>
        </w:rPr>
        <w:t>、退休返在</w:t>
      </w:r>
      <w:r>
        <w:rPr>
          <w:rFonts w:hint="eastAsia" w:ascii="华文楷体" w:hAnsi="华文楷体" w:eastAsia="华文楷体" w:cs="华文楷体"/>
          <w:kern w:val="0"/>
          <w:sz w:val="32"/>
          <w:szCs w:val="32"/>
          <w:lang w:val="en-US" w:eastAsia="zh-CN"/>
        </w:rPr>
        <w:t>2人</w:t>
      </w:r>
      <w:r>
        <w:rPr>
          <w:rFonts w:hint="eastAsia" w:ascii="华文楷体" w:hAnsi="华文楷体" w:eastAsia="华文楷体" w:cs="华文楷体"/>
          <w:kern w:val="0"/>
          <w:sz w:val="32"/>
          <w:szCs w:val="32"/>
        </w:rPr>
        <w:t xml:space="preserve">，其中： 财政全供养 </w:t>
      </w:r>
      <w:r>
        <w:rPr>
          <w:rFonts w:hint="eastAsia" w:ascii="华文楷体" w:hAnsi="华文楷体" w:eastAsia="华文楷体" w:cs="华文楷体"/>
          <w:kern w:val="0"/>
          <w:sz w:val="32"/>
          <w:szCs w:val="32"/>
          <w:lang w:val="en-US" w:eastAsia="zh-CN"/>
        </w:rPr>
        <w:t>8</w:t>
      </w:r>
      <w:r>
        <w:rPr>
          <w:rFonts w:hint="eastAsia" w:ascii="华文楷体" w:hAnsi="华文楷体" w:eastAsia="华文楷体" w:cs="华文楷体"/>
          <w:kern w:val="0"/>
          <w:sz w:val="32"/>
          <w:szCs w:val="32"/>
        </w:rPr>
        <w:t>人，财政部分供养</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人，非财政供养</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人。</w:t>
      </w:r>
    </w:p>
    <w:p>
      <w:pPr>
        <w:widowControl/>
        <w:ind w:firstLine="640" w:firstLineChars="2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 xml:space="preserve">离退休人员 </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 xml:space="preserve">人，其中： 离休 </w:t>
      </w:r>
      <w:r>
        <w:rPr>
          <w:rFonts w:hint="eastAsia" w:ascii="华文楷体" w:hAnsi="华文楷体" w:eastAsia="华文楷体" w:cs="华文楷体"/>
          <w:kern w:val="0"/>
          <w:sz w:val="32"/>
          <w:szCs w:val="32"/>
          <w:lang w:val="en-US" w:eastAsia="zh-CN"/>
        </w:rPr>
        <w:t>0</w:t>
      </w:r>
      <w:r>
        <w:rPr>
          <w:rFonts w:hint="eastAsia" w:ascii="华文楷体" w:hAnsi="华文楷体" w:eastAsia="华文楷体" w:cs="华文楷体"/>
          <w:kern w:val="0"/>
          <w:sz w:val="32"/>
          <w:szCs w:val="32"/>
        </w:rPr>
        <w:t>人，退休</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人。</w:t>
      </w:r>
    </w:p>
    <w:p>
      <w:pPr>
        <w:widowControl/>
        <w:ind w:firstLine="640" w:firstLineChars="2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车辆编制</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辆，实有车辆</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辆。</w:t>
      </w:r>
    </w:p>
    <w:p>
      <w:pPr>
        <w:widowControl/>
        <w:jc w:val="left"/>
        <w:rPr>
          <w:rFonts w:hint="eastAsia" w:ascii="华文楷体" w:hAnsi="华文楷体" w:eastAsia="华文楷体" w:cs="华文楷体"/>
          <w:b/>
          <w:bCs/>
          <w:kern w:val="0"/>
          <w:sz w:val="32"/>
          <w:szCs w:val="32"/>
        </w:rPr>
      </w:pPr>
      <w:r>
        <w:rPr>
          <w:rFonts w:hint="eastAsia" w:ascii="华文楷体" w:hAnsi="华文楷体" w:eastAsia="华文楷体" w:cs="华文楷体"/>
          <w:b/>
          <w:bCs/>
          <w:kern w:val="0"/>
          <w:sz w:val="32"/>
          <w:szCs w:val="32"/>
        </w:rPr>
        <w:t>三、预算单位收入情况</w:t>
      </w:r>
    </w:p>
    <w:p>
      <w:pPr>
        <w:widowControl/>
        <w:ind w:firstLine="480" w:firstLineChars="15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2021</w:t>
      </w:r>
      <w:r>
        <w:rPr>
          <w:rFonts w:hint="eastAsia" w:ascii="华文楷体" w:hAnsi="华文楷体" w:eastAsia="华文楷体" w:cs="华文楷体"/>
          <w:color w:val="auto"/>
          <w:kern w:val="0"/>
          <w:sz w:val="32"/>
          <w:szCs w:val="32"/>
          <w:highlight w:val="none"/>
        </w:rPr>
        <w:t xml:space="preserve">年部门财务总收入 </w:t>
      </w:r>
      <w:r>
        <w:rPr>
          <w:rFonts w:hint="eastAsia" w:ascii="华文楷体" w:hAnsi="华文楷体" w:eastAsia="华文楷体" w:cs="华文楷体"/>
          <w:color w:val="auto"/>
          <w:kern w:val="0"/>
          <w:sz w:val="32"/>
          <w:szCs w:val="32"/>
          <w:highlight w:val="none"/>
          <w:lang w:val="en-US" w:eastAsia="zh-CN"/>
        </w:rPr>
        <w:t>213.33</w:t>
      </w:r>
      <w:r>
        <w:rPr>
          <w:rFonts w:hint="eastAsia" w:ascii="华文楷体" w:hAnsi="华文楷体" w:eastAsia="华文楷体" w:cs="华文楷体"/>
          <w:color w:val="auto"/>
          <w:kern w:val="0"/>
          <w:sz w:val="32"/>
          <w:szCs w:val="32"/>
          <w:highlight w:val="none"/>
        </w:rPr>
        <w:t>万元，其中：一般公共预算财政拨款</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万元，政府性基金预算财政拨款</w:t>
      </w:r>
      <w:r>
        <w:rPr>
          <w:rFonts w:hint="eastAsia" w:ascii="华文楷体" w:hAnsi="华文楷体" w:eastAsia="华文楷体" w:cs="华文楷体"/>
          <w:color w:val="auto"/>
          <w:kern w:val="0"/>
          <w:sz w:val="32"/>
          <w:szCs w:val="32"/>
          <w:highlight w:val="none"/>
          <w:lang w:val="en-US" w:eastAsia="zh-CN"/>
        </w:rPr>
        <w:t xml:space="preserve"> 0</w:t>
      </w:r>
      <w:r>
        <w:rPr>
          <w:rFonts w:hint="eastAsia" w:ascii="华文楷体" w:hAnsi="华文楷体" w:eastAsia="华文楷体" w:cs="华文楷体"/>
          <w:color w:val="auto"/>
          <w:kern w:val="0"/>
          <w:sz w:val="32"/>
          <w:szCs w:val="32"/>
          <w:highlight w:val="none"/>
        </w:rPr>
        <w:t>万元，国有资本经营预算财政拨款</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万元，事业收入</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万元，事业单位经营收入</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万元，其他收入</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万元，上年结转</w:t>
      </w:r>
      <w:r>
        <w:rPr>
          <w:rFonts w:hint="eastAsia" w:ascii="华文楷体" w:hAnsi="华文楷体" w:eastAsia="华文楷体" w:cs="华文楷体"/>
          <w:color w:val="auto"/>
          <w:kern w:val="0"/>
          <w:sz w:val="32"/>
          <w:szCs w:val="32"/>
          <w:highlight w:val="none"/>
          <w:lang w:val="en-US" w:eastAsia="zh-CN"/>
        </w:rPr>
        <w:t>13.47</w:t>
      </w:r>
      <w:r>
        <w:rPr>
          <w:rFonts w:hint="eastAsia" w:ascii="华文楷体" w:hAnsi="华文楷体" w:eastAsia="华文楷体" w:cs="华文楷体"/>
          <w:color w:val="auto"/>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与上年</w:t>
      </w:r>
      <w:r>
        <w:rPr>
          <w:rFonts w:hint="eastAsia" w:ascii="华文楷体" w:hAnsi="华文楷体" w:eastAsia="华文楷体" w:cs="华文楷体"/>
          <w:color w:val="auto"/>
          <w:kern w:val="0"/>
          <w:sz w:val="32"/>
          <w:szCs w:val="32"/>
          <w:highlight w:val="none"/>
        </w:rPr>
        <w:t>总收入</w:t>
      </w:r>
      <w:r>
        <w:rPr>
          <w:rFonts w:hint="eastAsia" w:ascii="华文楷体" w:hAnsi="华文楷体" w:eastAsia="华文楷体" w:cs="华文楷体"/>
          <w:color w:val="auto"/>
          <w:kern w:val="0"/>
          <w:sz w:val="32"/>
          <w:szCs w:val="32"/>
          <w:highlight w:val="none"/>
          <w:lang w:val="en-US" w:eastAsia="zh-CN"/>
        </w:rPr>
        <w:t>245.15</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val="en-US" w:eastAsia="zh-CN"/>
        </w:rPr>
        <w:t>对比减少31.82万元</w:t>
      </w:r>
      <w:r>
        <w:rPr>
          <w:rFonts w:hint="eastAsia" w:ascii="华文楷体" w:hAnsi="华文楷体" w:eastAsia="华文楷体" w:cs="华文楷体"/>
          <w:b w:val="0"/>
          <w:bCs w:val="0"/>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主要原因分析:1、本年基本支出收入预算以2020年10月人员数为基础人员减少2人相应基本支出收入减少，上年基本支出收入212.96万元，本年度基本支出收入174.86万元较上年减少38.10万元；2、</w:t>
      </w:r>
      <w:r>
        <w:rPr>
          <w:rFonts w:hint="eastAsia" w:ascii="华文楷体" w:hAnsi="华文楷体" w:eastAsia="华文楷体" w:cs="华文楷体"/>
          <w:color w:val="auto"/>
          <w:kern w:val="0"/>
          <w:sz w:val="32"/>
          <w:szCs w:val="32"/>
          <w:highlight w:val="none"/>
        </w:rPr>
        <w:t>上年上年结转</w:t>
      </w:r>
      <w:r>
        <w:rPr>
          <w:rFonts w:hint="eastAsia" w:ascii="华文楷体" w:hAnsi="华文楷体" w:eastAsia="华文楷体" w:cs="华文楷体"/>
          <w:color w:val="auto"/>
          <w:kern w:val="0"/>
          <w:sz w:val="32"/>
          <w:szCs w:val="32"/>
          <w:highlight w:val="none"/>
          <w:lang w:val="en-US" w:eastAsia="zh-CN"/>
        </w:rPr>
        <w:t>7.19</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本年</w:t>
      </w:r>
      <w:r>
        <w:rPr>
          <w:rFonts w:hint="eastAsia" w:ascii="华文楷体" w:hAnsi="华文楷体" w:eastAsia="华文楷体" w:cs="华文楷体"/>
          <w:color w:val="auto"/>
          <w:kern w:val="0"/>
          <w:sz w:val="32"/>
          <w:szCs w:val="32"/>
          <w:highlight w:val="none"/>
        </w:rPr>
        <w:t>上年结转</w:t>
      </w:r>
      <w:r>
        <w:rPr>
          <w:rFonts w:hint="eastAsia" w:ascii="华文楷体" w:hAnsi="华文楷体" w:eastAsia="华文楷体" w:cs="华文楷体"/>
          <w:color w:val="auto"/>
          <w:kern w:val="0"/>
          <w:sz w:val="32"/>
          <w:szCs w:val="32"/>
          <w:highlight w:val="none"/>
          <w:lang w:val="en-US" w:eastAsia="zh-CN"/>
        </w:rPr>
        <w:t>13.47</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val="en-US" w:eastAsia="zh-CN"/>
        </w:rPr>
        <w:t>较上年增加6.28万元。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故本年度收入较上年度比减少31.82万元。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rPr>
        <w:t>（二）财政拨款收入情况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2021</w:t>
      </w:r>
      <w:r>
        <w:rPr>
          <w:rFonts w:hint="eastAsia" w:ascii="华文楷体" w:hAnsi="华文楷体" w:eastAsia="华文楷体" w:cs="华文楷体"/>
          <w:color w:val="auto"/>
          <w:kern w:val="0"/>
          <w:sz w:val="32"/>
          <w:szCs w:val="32"/>
          <w:highlight w:val="none"/>
        </w:rPr>
        <w:t>年部门财政拨款收入</w:t>
      </w:r>
      <w:r>
        <w:rPr>
          <w:rFonts w:hint="eastAsia" w:ascii="华文楷体" w:hAnsi="华文楷体" w:eastAsia="华文楷体" w:cs="华文楷体"/>
          <w:color w:val="auto"/>
          <w:kern w:val="0"/>
          <w:sz w:val="32"/>
          <w:szCs w:val="32"/>
          <w:highlight w:val="none"/>
          <w:lang w:val="en-US" w:eastAsia="zh-CN"/>
        </w:rPr>
        <w:t>213.33</w:t>
      </w:r>
      <w:r>
        <w:rPr>
          <w:rFonts w:hint="eastAsia" w:ascii="华文楷体" w:hAnsi="华文楷体" w:eastAsia="华文楷体" w:cs="华文楷体"/>
          <w:color w:val="auto"/>
          <w:kern w:val="0"/>
          <w:sz w:val="32"/>
          <w:szCs w:val="32"/>
          <w:highlight w:val="none"/>
        </w:rPr>
        <w:t>万元，其中:本年收入</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万元，上年结转</w:t>
      </w:r>
      <w:r>
        <w:rPr>
          <w:rFonts w:hint="eastAsia" w:ascii="华文楷体" w:hAnsi="华文楷体" w:eastAsia="华文楷体" w:cs="华文楷体"/>
          <w:color w:val="auto"/>
          <w:kern w:val="0"/>
          <w:sz w:val="32"/>
          <w:szCs w:val="32"/>
          <w:highlight w:val="none"/>
          <w:lang w:val="en-US" w:eastAsia="zh-CN"/>
        </w:rPr>
        <w:t>13.47</w:t>
      </w:r>
      <w:r>
        <w:rPr>
          <w:rFonts w:hint="eastAsia" w:ascii="华文楷体" w:hAnsi="华文楷体" w:eastAsia="华文楷体" w:cs="华文楷体"/>
          <w:color w:val="auto"/>
          <w:kern w:val="0"/>
          <w:sz w:val="32"/>
          <w:szCs w:val="32"/>
          <w:highlight w:val="none"/>
        </w:rPr>
        <w:t>万元。本年收入中，一般公共预算财政拨款</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万元（本级财力</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万元，专项收入</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万元，执法办案补助</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万元，收费成本补偿</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万元，财政专户管理的收入</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万元，国有资源（资产）有偿使用成本补偿</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万元），政府性基金预算财政拨款</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万元，国有资本经营预算财政拨款</w:t>
      </w:r>
      <w:r>
        <w:rPr>
          <w:rFonts w:hint="eastAsia" w:ascii="华文楷体" w:hAnsi="华文楷体" w:eastAsia="华文楷体" w:cs="华文楷体"/>
          <w:color w:val="auto"/>
          <w:kern w:val="0"/>
          <w:sz w:val="32"/>
          <w:szCs w:val="32"/>
          <w:highlight w:val="none"/>
          <w:lang w:val="en-US" w:eastAsia="zh-CN"/>
        </w:rPr>
        <w:t>0</w:t>
      </w:r>
      <w:r>
        <w:rPr>
          <w:rFonts w:hint="eastAsia" w:ascii="华文楷体" w:hAnsi="华文楷体" w:eastAsia="华文楷体" w:cs="华文楷体"/>
          <w:color w:val="auto"/>
          <w:kern w:val="0"/>
          <w:sz w:val="32"/>
          <w:szCs w:val="32"/>
          <w:highlight w:val="none"/>
        </w:rPr>
        <w:t>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与上年</w:t>
      </w:r>
      <w:r>
        <w:rPr>
          <w:rFonts w:hint="eastAsia" w:ascii="华文楷体" w:hAnsi="华文楷体" w:eastAsia="华文楷体" w:cs="华文楷体"/>
          <w:color w:val="auto"/>
          <w:kern w:val="0"/>
          <w:sz w:val="32"/>
          <w:szCs w:val="32"/>
          <w:highlight w:val="none"/>
        </w:rPr>
        <w:t>总收入</w:t>
      </w:r>
      <w:r>
        <w:rPr>
          <w:rFonts w:hint="eastAsia" w:ascii="华文楷体" w:hAnsi="华文楷体" w:eastAsia="华文楷体" w:cs="华文楷体"/>
          <w:color w:val="auto"/>
          <w:kern w:val="0"/>
          <w:sz w:val="32"/>
          <w:szCs w:val="32"/>
          <w:highlight w:val="none"/>
          <w:lang w:val="en-US" w:eastAsia="zh-CN"/>
        </w:rPr>
        <w:t>245.15</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val="en-US" w:eastAsia="zh-CN"/>
        </w:rPr>
        <w:t>对比减少31.82万元</w:t>
      </w:r>
      <w:r>
        <w:rPr>
          <w:rFonts w:hint="eastAsia" w:ascii="华文楷体" w:hAnsi="华文楷体" w:eastAsia="华文楷体" w:cs="华文楷体"/>
          <w:b w:val="0"/>
          <w:bCs w:val="0"/>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主要原因分析:主要原因分析:1、本年基本支出收入预算以2020年10月人员数为基础人员减少2人相应基本支出收入减少，上年基本支出收入212.96万元，本年度基本支出收入174.86万元较上年减少38.10万元；2、</w:t>
      </w:r>
      <w:r>
        <w:rPr>
          <w:rFonts w:hint="eastAsia" w:ascii="华文楷体" w:hAnsi="华文楷体" w:eastAsia="华文楷体" w:cs="华文楷体"/>
          <w:color w:val="auto"/>
          <w:kern w:val="0"/>
          <w:sz w:val="32"/>
          <w:szCs w:val="32"/>
          <w:highlight w:val="none"/>
        </w:rPr>
        <w:t>上年上年结转</w:t>
      </w:r>
      <w:r>
        <w:rPr>
          <w:rFonts w:hint="eastAsia" w:ascii="华文楷体" w:hAnsi="华文楷体" w:eastAsia="华文楷体" w:cs="华文楷体"/>
          <w:color w:val="auto"/>
          <w:kern w:val="0"/>
          <w:sz w:val="32"/>
          <w:szCs w:val="32"/>
          <w:highlight w:val="none"/>
          <w:lang w:val="en-US" w:eastAsia="zh-CN"/>
        </w:rPr>
        <w:t>7.19</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本年</w:t>
      </w:r>
      <w:r>
        <w:rPr>
          <w:rFonts w:hint="eastAsia" w:ascii="华文楷体" w:hAnsi="华文楷体" w:eastAsia="华文楷体" w:cs="华文楷体"/>
          <w:color w:val="auto"/>
          <w:kern w:val="0"/>
          <w:sz w:val="32"/>
          <w:szCs w:val="32"/>
          <w:highlight w:val="none"/>
        </w:rPr>
        <w:t>上年结转</w:t>
      </w:r>
      <w:r>
        <w:rPr>
          <w:rFonts w:hint="eastAsia" w:ascii="华文楷体" w:hAnsi="华文楷体" w:eastAsia="华文楷体" w:cs="华文楷体"/>
          <w:color w:val="auto"/>
          <w:kern w:val="0"/>
          <w:sz w:val="32"/>
          <w:szCs w:val="32"/>
          <w:highlight w:val="none"/>
          <w:lang w:val="en-US" w:eastAsia="zh-CN"/>
        </w:rPr>
        <w:t>13.47</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val="en-US" w:eastAsia="zh-CN"/>
        </w:rPr>
        <w:t>较上年增加6.28万元。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故本年度收入较上年度比减少31.82万元。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rPr>
        <w:t>预算单位支出情况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（本条分组按项级科目细化）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2021</w:t>
      </w:r>
      <w:r>
        <w:rPr>
          <w:rFonts w:hint="eastAsia" w:ascii="华文楷体" w:hAnsi="华文楷体" w:eastAsia="华文楷体" w:cs="华文楷体"/>
          <w:color w:val="auto"/>
          <w:kern w:val="0"/>
          <w:sz w:val="32"/>
          <w:szCs w:val="32"/>
          <w:highlight w:val="none"/>
        </w:rPr>
        <w:t>年部门预算总支出</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 xml:space="preserve">万元。财政拨款安排支出 </w:t>
      </w:r>
      <w:r>
        <w:rPr>
          <w:rFonts w:hint="eastAsia" w:ascii="华文楷体" w:hAnsi="华文楷体" w:eastAsia="华文楷体" w:cs="华文楷体"/>
          <w:color w:val="auto"/>
          <w:kern w:val="0"/>
          <w:sz w:val="32"/>
          <w:szCs w:val="32"/>
          <w:highlight w:val="none"/>
          <w:lang w:val="en-US" w:eastAsia="zh-CN"/>
        </w:rPr>
        <w:t>199.86</w:t>
      </w:r>
      <w:r>
        <w:rPr>
          <w:rFonts w:hint="eastAsia" w:ascii="华文楷体" w:hAnsi="华文楷体" w:eastAsia="华文楷体" w:cs="华文楷体"/>
          <w:color w:val="auto"/>
          <w:kern w:val="0"/>
          <w:sz w:val="32"/>
          <w:szCs w:val="32"/>
          <w:highlight w:val="none"/>
        </w:rPr>
        <w:t>万元，其中</w:t>
      </w:r>
      <w:r>
        <w:rPr>
          <w:rFonts w:hint="eastAsia" w:ascii="华文楷体" w:hAnsi="华文楷体" w:eastAsia="华文楷体" w:cs="华文楷体"/>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rPr>
        <w:t>基本支出</w:t>
      </w:r>
      <w:r>
        <w:rPr>
          <w:rFonts w:hint="eastAsia" w:ascii="华文楷体" w:hAnsi="华文楷体" w:eastAsia="华文楷体" w:cs="华文楷体"/>
          <w:color w:val="auto"/>
          <w:kern w:val="0"/>
          <w:sz w:val="32"/>
          <w:szCs w:val="32"/>
          <w:highlight w:val="none"/>
          <w:lang w:val="en-US" w:eastAsia="zh-CN"/>
        </w:rPr>
        <w:t>174.86</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与上年支出212.96万元对比减少38.10万元</w:t>
      </w:r>
      <w:r>
        <w:rPr>
          <w:rFonts w:hint="eastAsia" w:ascii="华文楷体" w:hAnsi="华文楷体" w:eastAsia="华文楷体" w:cs="华文楷体"/>
          <w:b w:val="0"/>
          <w:bCs w:val="0"/>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主要原因分析:1、本年基本支出收入预算以2020年10月人员数为基础人员减少2人相应基本支出收入减少，上年基本支出收入212.96万元，本年度基本支出收入174.86万元较上年减少38.10万元；2、</w:t>
      </w:r>
      <w:r>
        <w:rPr>
          <w:rFonts w:hint="eastAsia" w:ascii="华文楷体" w:hAnsi="华文楷体" w:eastAsia="华文楷体" w:cs="华文楷体"/>
          <w:color w:val="auto"/>
          <w:kern w:val="0"/>
          <w:sz w:val="32"/>
          <w:szCs w:val="32"/>
          <w:highlight w:val="none"/>
        </w:rPr>
        <w:t>上年上年结转</w:t>
      </w:r>
      <w:r>
        <w:rPr>
          <w:rFonts w:hint="eastAsia" w:ascii="华文楷体" w:hAnsi="华文楷体" w:eastAsia="华文楷体" w:cs="华文楷体"/>
          <w:color w:val="auto"/>
          <w:kern w:val="0"/>
          <w:sz w:val="32"/>
          <w:szCs w:val="32"/>
          <w:highlight w:val="none"/>
          <w:lang w:val="en-US" w:eastAsia="zh-CN"/>
        </w:rPr>
        <w:t>7.19</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本年</w:t>
      </w:r>
      <w:r>
        <w:rPr>
          <w:rFonts w:hint="eastAsia" w:ascii="华文楷体" w:hAnsi="华文楷体" w:eastAsia="华文楷体" w:cs="华文楷体"/>
          <w:color w:val="auto"/>
          <w:kern w:val="0"/>
          <w:sz w:val="32"/>
          <w:szCs w:val="32"/>
          <w:highlight w:val="none"/>
        </w:rPr>
        <w:t>上年结转</w:t>
      </w:r>
      <w:r>
        <w:rPr>
          <w:rFonts w:hint="eastAsia" w:ascii="华文楷体" w:hAnsi="华文楷体" w:eastAsia="华文楷体" w:cs="华文楷体"/>
          <w:color w:val="auto"/>
          <w:kern w:val="0"/>
          <w:sz w:val="32"/>
          <w:szCs w:val="32"/>
          <w:highlight w:val="none"/>
          <w:lang w:val="en-US" w:eastAsia="zh-CN"/>
        </w:rPr>
        <w:t>13.47</w:t>
      </w:r>
      <w:r>
        <w:rPr>
          <w:rFonts w:hint="eastAsia" w:ascii="华文楷体" w:hAnsi="华文楷体" w:eastAsia="华文楷体" w:cs="华文楷体"/>
          <w:color w:val="auto"/>
          <w:kern w:val="0"/>
          <w:sz w:val="32"/>
          <w:szCs w:val="32"/>
          <w:highlight w:val="none"/>
        </w:rPr>
        <w:t>万元</w:t>
      </w:r>
      <w:r>
        <w:rPr>
          <w:rFonts w:hint="eastAsia" w:ascii="华文楷体" w:hAnsi="华文楷体" w:eastAsia="华文楷体" w:cs="华文楷体"/>
          <w:color w:val="auto"/>
          <w:kern w:val="0"/>
          <w:sz w:val="32"/>
          <w:szCs w:val="32"/>
          <w:highlight w:val="none"/>
          <w:lang w:val="en-US" w:eastAsia="zh-CN"/>
        </w:rPr>
        <w:t>较上年增加6.28万元。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rPr>
        <w:t>（一）财政拨款安排支出按功能科目分类情况</w:t>
      </w:r>
    </w:p>
    <w:p>
      <w:pPr>
        <w:widowControl/>
        <w:snapToGrid w:val="0"/>
        <w:spacing w:before="100" w:after="100" w:line="600" w:lineRule="exact"/>
        <w:ind w:firstLine="538"/>
        <w:jc w:val="both"/>
        <w:rPr>
          <w:rFonts w:hint="default" w:ascii="华文楷体" w:hAnsi="华文楷体" w:eastAsia="华文楷体" w:cs="华文楷体"/>
          <w:kern w:val="0"/>
          <w:sz w:val="32"/>
          <w:szCs w:val="32"/>
          <w:lang w:val="en-US" w:eastAsia="zh-CN"/>
        </w:rPr>
      </w:pPr>
      <w:r>
        <w:rPr>
          <w:rFonts w:hint="eastAsia" w:ascii="华文楷体" w:hAnsi="华文楷体" w:eastAsia="华文楷体" w:cs="华文楷体"/>
          <w:kern w:val="0"/>
          <w:sz w:val="32"/>
          <w:szCs w:val="32"/>
        </w:rPr>
        <w:t>按功能科目分类，支出分别列</w:t>
      </w:r>
      <w:r>
        <w:rPr>
          <w:rFonts w:hint="eastAsia" w:ascii="华文楷体" w:hAnsi="华文楷体" w:eastAsia="华文楷体" w:cs="华文楷体"/>
          <w:kern w:val="0"/>
          <w:sz w:val="32"/>
          <w:szCs w:val="32"/>
          <w:lang w:eastAsia="zh-CN"/>
        </w:rPr>
        <w:t>：</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sz w:val="32"/>
          <w:szCs w:val="32"/>
          <w:lang w:val="en-US" w:eastAsia="zh-CN"/>
        </w:rPr>
        <w:t>2019999</w:t>
      </w:r>
      <w:r>
        <w:rPr>
          <w:rFonts w:hint="eastAsia" w:ascii="华文楷体" w:hAnsi="华文楷体" w:eastAsia="华文楷体" w:cs="华文楷体"/>
          <w:kern w:val="0"/>
          <w:sz w:val="32"/>
          <w:szCs w:val="32"/>
          <w:lang w:eastAsia="zh-CN"/>
        </w:rPr>
        <w:t>其他一般公共服务</w:t>
      </w:r>
      <w:r>
        <w:rPr>
          <w:rFonts w:hint="eastAsia" w:ascii="华文楷体" w:hAnsi="华文楷体" w:eastAsia="华文楷体" w:cs="华文楷体"/>
          <w:kern w:val="0"/>
          <w:sz w:val="32"/>
          <w:szCs w:val="32"/>
        </w:rPr>
        <w:t>支出</w:t>
      </w:r>
      <w:r>
        <w:rPr>
          <w:rFonts w:hint="eastAsia" w:ascii="华文楷体" w:hAnsi="华文楷体" w:eastAsia="华文楷体" w:cs="华文楷体"/>
          <w:kern w:val="0"/>
          <w:sz w:val="32"/>
          <w:szCs w:val="32"/>
          <w:lang w:val="en-US" w:eastAsia="zh-CN"/>
        </w:rPr>
        <w:t>0.9万元</w:t>
      </w:r>
      <w:r>
        <w:rPr>
          <w:rFonts w:hint="eastAsia" w:ascii="华文楷体" w:hAnsi="华文楷体" w:eastAsia="华文楷体" w:cs="华文楷体"/>
          <w:kern w:val="0"/>
          <w:sz w:val="32"/>
          <w:szCs w:val="32"/>
        </w:rPr>
        <w:t>，主要反映</w:t>
      </w:r>
      <w:r>
        <w:rPr>
          <w:rFonts w:hint="eastAsia" w:ascii="华文楷体" w:hAnsi="华文楷体" w:eastAsia="华文楷体" w:cs="华文楷体"/>
          <w:sz w:val="32"/>
          <w:szCs w:val="32"/>
          <w:lang w:eastAsia="zh-CN"/>
        </w:rPr>
        <w:t>办公取暖费</w:t>
      </w:r>
      <w:r>
        <w:rPr>
          <w:rFonts w:hint="eastAsia" w:ascii="华文楷体" w:hAnsi="华文楷体" w:eastAsia="华文楷体" w:cs="华文楷体"/>
          <w:kern w:val="0"/>
          <w:sz w:val="32"/>
          <w:szCs w:val="32"/>
        </w:rPr>
        <w:t>的支出</w:t>
      </w:r>
      <w:r>
        <w:rPr>
          <w:rFonts w:hint="eastAsia" w:ascii="华文楷体" w:hAnsi="华文楷体" w:eastAsia="华文楷体" w:cs="华文楷体"/>
          <w:kern w:val="0"/>
          <w:sz w:val="32"/>
          <w:szCs w:val="32"/>
          <w:lang w:eastAsia="zh-CN"/>
        </w:rPr>
        <w:t>；</w:t>
      </w:r>
      <w:r>
        <w:rPr>
          <w:rFonts w:hint="eastAsia" w:ascii="华文楷体" w:hAnsi="华文楷体" w:eastAsia="华文楷体" w:cs="华文楷体"/>
          <w:kern w:val="0"/>
          <w:sz w:val="32"/>
          <w:szCs w:val="32"/>
          <w:lang w:val="en-US" w:eastAsia="zh-CN"/>
        </w:rPr>
        <w:t>2、2080599其他行政事业单位离退休支出0.24万元，</w:t>
      </w:r>
      <w:r>
        <w:rPr>
          <w:rFonts w:hint="eastAsia" w:ascii="华文楷体" w:hAnsi="华文楷体" w:eastAsia="华文楷体" w:cs="华文楷体"/>
          <w:kern w:val="0"/>
          <w:sz w:val="32"/>
          <w:szCs w:val="32"/>
        </w:rPr>
        <w:t>主要反映</w:t>
      </w:r>
      <w:r>
        <w:rPr>
          <w:rFonts w:hint="eastAsia" w:ascii="华文楷体" w:hAnsi="华文楷体" w:eastAsia="华文楷体" w:cs="华文楷体"/>
          <w:kern w:val="0"/>
          <w:sz w:val="32"/>
          <w:szCs w:val="32"/>
          <w:lang w:eastAsia="zh-CN"/>
        </w:rPr>
        <w:t>退休人员公用经费</w:t>
      </w:r>
      <w:r>
        <w:rPr>
          <w:rFonts w:hint="eastAsia" w:ascii="华文楷体" w:hAnsi="华文楷体" w:eastAsia="华文楷体" w:cs="华文楷体"/>
          <w:kern w:val="0"/>
          <w:sz w:val="32"/>
          <w:szCs w:val="32"/>
        </w:rPr>
        <w:t>的支出</w:t>
      </w:r>
      <w:r>
        <w:rPr>
          <w:rFonts w:hint="eastAsia" w:ascii="华文楷体" w:hAnsi="华文楷体" w:eastAsia="华文楷体" w:cs="华文楷体"/>
          <w:kern w:val="0"/>
          <w:sz w:val="32"/>
          <w:szCs w:val="32"/>
          <w:lang w:eastAsia="zh-CN"/>
        </w:rPr>
        <w:t>；</w:t>
      </w:r>
      <w:r>
        <w:rPr>
          <w:rFonts w:hint="eastAsia" w:ascii="华文楷体" w:hAnsi="华文楷体" w:eastAsia="华文楷体" w:cs="华文楷体"/>
          <w:kern w:val="0"/>
          <w:sz w:val="32"/>
          <w:szCs w:val="32"/>
          <w:lang w:val="en-US" w:eastAsia="zh-CN"/>
        </w:rPr>
        <w:t>3、2100402</w:t>
      </w:r>
      <w:r>
        <w:rPr>
          <w:rFonts w:hint="eastAsia" w:ascii="华文楷体" w:hAnsi="华文楷体" w:eastAsia="华文楷体" w:cs="华文楷体"/>
          <w:kern w:val="0"/>
          <w:sz w:val="32"/>
          <w:szCs w:val="32"/>
          <w:lang w:eastAsia="zh-CN"/>
        </w:rPr>
        <w:t>卫生监督机构</w:t>
      </w:r>
      <w:r>
        <w:rPr>
          <w:rFonts w:hint="eastAsia" w:ascii="华文楷体" w:hAnsi="华文楷体" w:eastAsia="华文楷体" w:cs="华文楷体"/>
          <w:kern w:val="0"/>
          <w:sz w:val="32"/>
          <w:szCs w:val="32"/>
        </w:rPr>
        <w:t>支出</w:t>
      </w:r>
      <w:r>
        <w:rPr>
          <w:rFonts w:hint="eastAsia" w:ascii="华文楷体" w:hAnsi="华文楷体" w:eastAsia="华文楷体" w:cs="华文楷体"/>
          <w:kern w:val="0"/>
          <w:sz w:val="32"/>
          <w:szCs w:val="32"/>
          <w:lang w:val="en-US" w:eastAsia="zh-CN"/>
        </w:rPr>
        <w:t>153.65万元</w:t>
      </w:r>
      <w:r>
        <w:rPr>
          <w:rFonts w:hint="eastAsia" w:ascii="华文楷体" w:hAnsi="华文楷体" w:eastAsia="华文楷体" w:cs="华文楷体"/>
          <w:kern w:val="0"/>
          <w:sz w:val="32"/>
          <w:szCs w:val="32"/>
        </w:rPr>
        <w:t>，主要反映</w:t>
      </w:r>
      <w:r>
        <w:rPr>
          <w:rFonts w:hint="eastAsia" w:ascii="华文楷体" w:hAnsi="华文楷体" w:eastAsia="华文楷体" w:cs="华文楷体"/>
          <w:kern w:val="0"/>
          <w:sz w:val="32"/>
          <w:szCs w:val="32"/>
          <w:lang w:eastAsia="zh-CN"/>
        </w:rPr>
        <w:t>工资福利支出</w:t>
      </w:r>
      <w:r>
        <w:rPr>
          <w:rFonts w:hint="eastAsia" w:ascii="华文楷体" w:hAnsi="华文楷体" w:eastAsia="华文楷体" w:cs="华文楷体"/>
          <w:kern w:val="0"/>
          <w:sz w:val="32"/>
          <w:szCs w:val="32"/>
          <w:lang w:val="en-US" w:eastAsia="zh-CN"/>
        </w:rPr>
        <w:t>121.69万元、商品和服务支出11.85万元、项目支出20万元、失业保险0.11万元；4、2080505机关事业单位基本养老保险缴费支出15.74万元；5、2100409重大公共卫生5万元；6、2101102事业单位医疗7.65万元；7、2101103公务员医疗补助4.47万元；8、2109901其他卫生健康支出0.4万元；9、2210201住房公积金11.81万元。</w:t>
      </w:r>
    </w:p>
    <w:p>
      <w:pPr>
        <w:widowControl/>
        <w:ind w:firstLine="320" w:firstLineChars="100"/>
        <w:jc w:val="left"/>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rPr>
        <w:t>（二）本级财力支出按经济科目分类情况</w:t>
      </w:r>
    </w:p>
    <w:p>
      <w:pPr>
        <w:widowControl/>
        <w:ind w:firstLine="640" w:firstLineChars="200"/>
        <w:jc w:val="left"/>
        <w:rPr>
          <w:rFonts w:hint="eastAsia" w:ascii="华文楷体" w:hAnsi="华文楷体" w:eastAsia="华文楷体" w:cs="华文楷体"/>
          <w:kern w:val="0"/>
          <w:sz w:val="32"/>
          <w:szCs w:val="32"/>
          <w:lang w:eastAsia="zh-CN"/>
        </w:rPr>
      </w:pPr>
      <w:r>
        <w:rPr>
          <w:rFonts w:hint="eastAsia" w:ascii="华文楷体" w:hAnsi="华文楷体" w:eastAsia="华文楷体" w:cs="华文楷体"/>
          <w:kern w:val="0"/>
          <w:sz w:val="32"/>
          <w:szCs w:val="32"/>
          <w:lang w:eastAsia="zh-CN"/>
        </w:rPr>
        <w:t>按</w:t>
      </w:r>
      <w:r>
        <w:rPr>
          <w:rFonts w:hint="eastAsia" w:ascii="华文楷体" w:hAnsi="华文楷体" w:eastAsia="华文楷体" w:cs="华文楷体"/>
          <w:kern w:val="0"/>
          <w:sz w:val="32"/>
          <w:szCs w:val="32"/>
        </w:rPr>
        <w:t>经济科目分</w:t>
      </w:r>
      <w:r>
        <w:rPr>
          <w:rFonts w:hint="eastAsia" w:ascii="华文楷体" w:hAnsi="华文楷体" w:eastAsia="华文楷体" w:cs="华文楷体"/>
          <w:kern w:val="0"/>
          <w:sz w:val="32"/>
          <w:szCs w:val="32"/>
          <w:lang w:eastAsia="zh-CN"/>
        </w:rPr>
        <w:t>类，</w:t>
      </w:r>
      <w:r>
        <w:rPr>
          <w:rFonts w:hint="eastAsia" w:ascii="华文楷体" w:hAnsi="华文楷体" w:eastAsia="华文楷体" w:cs="华文楷体"/>
          <w:kern w:val="0"/>
          <w:sz w:val="32"/>
          <w:szCs w:val="32"/>
        </w:rPr>
        <w:t>支出分别列</w:t>
      </w:r>
      <w:r>
        <w:rPr>
          <w:rFonts w:hint="eastAsia" w:ascii="华文楷体" w:hAnsi="华文楷体" w:eastAsia="华文楷体" w:cs="华文楷体"/>
          <w:kern w:val="0"/>
          <w:sz w:val="32"/>
          <w:szCs w:val="32"/>
          <w:lang w:eastAsia="zh-CN"/>
        </w:rPr>
        <w:t>：</w:t>
      </w:r>
    </w:p>
    <w:p>
      <w:pPr>
        <w:widowControl/>
        <w:ind w:firstLine="640" w:firstLineChars="200"/>
        <w:jc w:val="left"/>
        <w:rPr>
          <w:rFonts w:hint="eastAsia" w:ascii="华文楷体" w:hAnsi="华文楷体" w:eastAsia="华文楷体" w:cs="华文楷体"/>
          <w:kern w:val="0"/>
          <w:sz w:val="32"/>
          <w:szCs w:val="32"/>
          <w:lang w:val="en-US" w:eastAsia="zh-CN"/>
        </w:rPr>
      </w:pP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rPr>
        <w:t>基本支出</w:t>
      </w:r>
      <w:r>
        <w:rPr>
          <w:rFonts w:hint="eastAsia" w:ascii="华文楷体" w:hAnsi="华文楷体" w:eastAsia="华文楷体" w:cs="华文楷体"/>
          <w:kern w:val="0"/>
          <w:sz w:val="32"/>
          <w:szCs w:val="32"/>
          <w:lang w:val="en-US" w:eastAsia="zh-CN"/>
        </w:rPr>
        <w:t>174.86</w:t>
      </w:r>
      <w:r>
        <w:rPr>
          <w:rFonts w:hint="eastAsia" w:ascii="华文楷体" w:hAnsi="华文楷体" w:eastAsia="华文楷体" w:cs="华文楷体"/>
          <w:kern w:val="0"/>
          <w:sz w:val="32"/>
          <w:szCs w:val="32"/>
        </w:rPr>
        <w:t>万元</w:t>
      </w:r>
      <w:r>
        <w:rPr>
          <w:rFonts w:hint="eastAsia" w:ascii="华文楷体" w:hAnsi="华文楷体" w:eastAsia="华文楷体" w:cs="华文楷体"/>
          <w:kern w:val="0"/>
          <w:sz w:val="32"/>
          <w:szCs w:val="32"/>
          <w:lang w:eastAsia="zh-CN"/>
        </w:rPr>
        <w:t>，其中：（</w:t>
      </w:r>
      <w:r>
        <w:rPr>
          <w:rFonts w:hint="eastAsia" w:ascii="华文楷体" w:hAnsi="华文楷体" w:eastAsia="华文楷体" w:cs="华文楷体"/>
          <w:kern w:val="0"/>
          <w:sz w:val="32"/>
          <w:szCs w:val="32"/>
          <w:lang w:val="en-US" w:eastAsia="zh-CN"/>
        </w:rPr>
        <w:t>1</w:t>
      </w:r>
      <w:r>
        <w:rPr>
          <w:rFonts w:hint="eastAsia" w:ascii="华文楷体" w:hAnsi="华文楷体" w:eastAsia="华文楷体" w:cs="华文楷体"/>
          <w:kern w:val="0"/>
          <w:sz w:val="32"/>
          <w:szCs w:val="32"/>
          <w:lang w:eastAsia="zh-CN"/>
        </w:rPr>
        <w:t>）</w:t>
      </w:r>
      <w:r>
        <w:rPr>
          <w:rFonts w:hint="eastAsia" w:ascii="华文楷体" w:hAnsi="华文楷体" w:eastAsia="华文楷体" w:cs="华文楷体"/>
          <w:kern w:val="0"/>
          <w:sz w:val="32"/>
          <w:szCs w:val="32"/>
          <w:lang w:val="en-US" w:eastAsia="zh-CN"/>
        </w:rPr>
        <w:t>30208取暖费0.9万元；(2）30108机关事业单位基本养老保险费15.74万元；（3）30299退休人员公用经费0.24万元；（4）30101基本工资27.22万元；（5）30102津贴补贴92.20元；（6）30103奖金2.27万元；（7）30112其他社会保障缴费0.16万元；（8）30201办公费2.5万元元；（9）30228工会经费1.97万元；（10）30229福利费0.02万元；（11）30231公务用车运行维护费2.5万元；（12）30239其他交通费用4.5万元；（13）30110职工基本医疗保险缴费7.38万元；（14）30112大病医疗补助0.22万元；（15）30111公务员医疗补助4.47万元；（16）30114医疗费0.4万元；（17）31013住房公积金11.81万元；</w:t>
      </w:r>
      <w:r>
        <w:rPr>
          <w:rFonts w:hint="eastAsia" w:ascii="华文楷体" w:hAnsi="华文楷体" w:eastAsia="华文楷体" w:cs="华文楷体"/>
          <w:kern w:val="0"/>
          <w:sz w:val="30"/>
          <w:szCs w:val="30"/>
          <w:lang w:val="en-US" w:eastAsia="zh-CN"/>
        </w:rPr>
        <w:t>（18）30239</w:t>
      </w:r>
      <w:r>
        <w:rPr>
          <w:rFonts w:hint="eastAsia" w:ascii="华文楷体" w:hAnsi="华文楷体" w:eastAsia="华文楷体" w:cs="华文楷体"/>
          <w:i w:val="0"/>
          <w:color w:val="000000"/>
          <w:kern w:val="0"/>
          <w:sz w:val="30"/>
          <w:szCs w:val="30"/>
          <w:u w:val="none"/>
          <w:lang w:val="en-US" w:eastAsia="zh-CN" w:bidi="ar"/>
        </w:rPr>
        <w:t>公务用车租赁费0.36万元。</w:t>
      </w:r>
    </w:p>
    <w:p>
      <w:pPr>
        <w:widowControl/>
        <w:ind w:firstLine="640" w:firstLineChars="200"/>
        <w:jc w:val="left"/>
        <w:rPr>
          <w:rFonts w:hint="default" w:ascii="华文楷体" w:hAnsi="华文楷体" w:eastAsia="华文楷体" w:cs="华文楷体"/>
          <w:kern w:val="0"/>
          <w:sz w:val="32"/>
          <w:szCs w:val="32"/>
          <w:lang w:val="en-US"/>
        </w:rPr>
      </w:pPr>
      <w:r>
        <w:rPr>
          <w:rFonts w:hint="eastAsia" w:ascii="华文楷体" w:hAnsi="华文楷体" w:eastAsia="华文楷体" w:cs="华文楷体"/>
          <w:kern w:val="0"/>
          <w:sz w:val="32"/>
          <w:szCs w:val="32"/>
          <w:lang w:val="en-US" w:eastAsia="zh-CN"/>
        </w:rPr>
        <w:t>2、</w:t>
      </w:r>
      <w:r>
        <w:rPr>
          <w:rFonts w:hint="eastAsia" w:ascii="华文楷体" w:hAnsi="华文楷体" w:eastAsia="华文楷体" w:cs="华文楷体"/>
          <w:kern w:val="0"/>
          <w:sz w:val="32"/>
          <w:szCs w:val="32"/>
        </w:rPr>
        <w:t>项目支出</w:t>
      </w:r>
      <w:r>
        <w:rPr>
          <w:rFonts w:hint="eastAsia" w:ascii="华文楷体" w:hAnsi="华文楷体" w:eastAsia="华文楷体" w:cs="华文楷体"/>
          <w:kern w:val="0"/>
          <w:sz w:val="32"/>
          <w:szCs w:val="32"/>
          <w:lang w:val="en-US" w:eastAsia="zh-CN"/>
        </w:rPr>
        <w:t>25.00</w:t>
      </w:r>
      <w:r>
        <w:rPr>
          <w:rFonts w:hint="eastAsia" w:ascii="华文楷体" w:hAnsi="华文楷体" w:eastAsia="华文楷体" w:cs="华文楷体"/>
          <w:kern w:val="0"/>
          <w:sz w:val="32"/>
          <w:szCs w:val="32"/>
        </w:rPr>
        <w:t>万元</w:t>
      </w:r>
      <w:r>
        <w:rPr>
          <w:rFonts w:hint="eastAsia" w:ascii="华文楷体" w:hAnsi="华文楷体" w:eastAsia="华文楷体" w:cs="华文楷体"/>
          <w:kern w:val="0"/>
          <w:sz w:val="32"/>
          <w:szCs w:val="32"/>
          <w:lang w:eastAsia="zh-CN"/>
        </w:rPr>
        <w:t>，其中：（</w:t>
      </w:r>
      <w:r>
        <w:rPr>
          <w:rFonts w:hint="eastAsia" w:ascii="华文楷体" w:hAnsi="华文楷体" w:eastAsia="华文楷体" w:cs="华文楷体"/>
          <w:kern w:val="0"/>
          <w:sz w:val="32"/>
          <w:szCs w:val="32"/>
          <w:lang w:val="en-US" w:eastAsia="zh-CN"/>
        </w:rPr>
        <w:t>1）2100402卫生监督机构（卫生监督执法经费）20.00万元；（2）2100409重点公共卫生专项（饮用水卫生监督经费）5.00万元。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 xml:space="preserve"> 州</w:t>
      </w:r>
      <w:r>
        <w:rPr>
          <w:rFonts w:hint="eastAsia" w:ascii="华文楷体" w:hAnsi="华文楷体" w:eastAsia="华文楷体" w:cs="华文楷体"/>
          <w:color w:val="auto"/>
          <w:kern w:val="0"/>
          <w:sz w:val="32"/>
          <w:szCs w:val="32"/>
          <w:highlight w:val="none"/>
        </w:rPr>
        <w:t>对下</w:t>
      </w:r>
      <w:r>
        <w:rPr>
          <w:rFonts w:hint="eastAsia" w:ascii="华文楷体" w:hAnsi="华文楷体" w:eastAsia="华文楷体" w:cs="华文楷体"/>
          <w:color w:val="auto"/>
          <w:kern w:val="0"/>
          <w:sz w:val="32"/>
          <w:szCs w:val="32"/>
          <w:highlight w:val="none"/>
          <w:lang w:eastAsia="zh-CN"/>
        </w:rPr>
        <w:t>专</w:t>
      </w:r>
      <w:r>
        <w:rPr>
          <w:rFonts w:hint="eastAsia" w:ascii="华文楷体" w:hAnsi="华文楷体" w:eastAsia="华文楷体" w:cs="华文楷体"/>
          <w:color w:val="auto"/>
          <w:kern w:val="0"/>
          <w:sz w:val="32"/>
          <w:szCs w:val="32"/>
          <w:highlight w:val="none"/>
        </w:rPr>
        <w:t>项转移支付情况</w:t>
      </w:r>
      <w:r>
        <w:rPr>
          <w:rFonts w:hint="eastAsia" w:ascii="华文楷体" w:hAnsi="华文楷体" w:eastAsia="华文楷体" w:cs="华文楷体"/>
          <w:b/>
          <w:bCs/>
          <w:color w:val="auto"/>
          <w:kern w:val="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rPr>
        <w:t>（一）列入</w:t>
      </w:r>
      <w:r>
        <w:rPr>
          <w:rFonts w:hint="eastAsia" w:ascii="华文楷体" w:hAnsi="华文楷体" w:eastAsia="华文楷体" w:cs="华文楷体"/>
          <w:color w:val="auto"/>
          <w:kern w:val="0"/>
          <w:sz w:val="32"/>
          <w:szCs w:val="32"/>
          <w:highlight w:val="none"/>
          <w:lang w:eastAsia="zh-CN"/>
        </w:rPr>
        <w:t>州</w:t>
      </w:r>
      <w:r>
        <w:rPr>
          <w:rFonts w:hint="eastAsia" w:ascii="华文楷体" w:hAnsi="华文楷体" w:eastAsia="华文楷体" w:cs="华文楷体"/>
          <w:color w:val="auto"/>
          <w:kern w:val="0"/>
          <w:sz w:val="32"/>
          <w:szCs w:val="32"/>
          <w:highlight w:val="none"/>
        </w:rPr>
        <w:t>对下专项转移支付项目清单项目情况</w:t>
      </w:r>
      <w:r>
        <w:rPr>
          <w:rFonts w:hint="eastAsia" w:ascii="华文楷体" w:hAnsi="华文楷体" w:eastAsia="华文楷体" w:cs="华文楷体"/>
          <w:b/>
          <w:bCs/>
          <w:color w:val="auto"/>
          <w:kern w:val="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 xml:space="preserve">  </w:t>
      </w:r>
      <w:r>
        <w:rPr>
          <w:rFonts w:hint="eastAsia" w:ascii="华文楷体" w:hAnsi="华文楷体" w:eastAsia="华文楷体" w:cs="华文楷体"/>
          <w:color w:val="auto"/>
          <w:kern w:val="0"/>
          <w:sz w:val="32"/>
          <w:szCs w:val="32"/>
          <w:highlight w:val="none"/>
        </w:rPr>
        <w:t>（二）与中央配套事项</w:t>
      </w:r>
      <w:r>
        <w:rPr>
          <w:rFonts w:hint="eastAsia" w:ascii="华文楷体" w:hAnsi="华文楷体" w:eastAsia="华文楷体" w:cs="华文楷体"/>
          <w:b/>
          <w:bCs/>
          <w:color w:val="auto"/>
          <w:kern w:val="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b/>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 xml:space="preserve">  </w:t>
      </w:r>
      <w:r>
        <w:rPr>
          <w:rFonts w:hint="eastAsia" w:ascii="华文楷体" w:hAnsi="华文楷体" w:eastAsia="华文楷体" w:cs="华文楷体"/>
          <w:b/>
          <w:color w:val="auto"/>
          <w:kern w:val="0"/>
          <w:sz w:val="32"/>
          <w:szCs w:val="32"/>
          <w:highlight w:val="none"/>
        </w:rPr>
        <w:t>（</w:t>
      </w:r>
      <w:r>
        <w:rPr>
          <w:rFonts w:hint="eastAsia" w:ascii="华文楷体" w:hAnsi="华文楷体" w:eastAsia="华文楷体" w:cs="华文楷体"/>
          <w:color w:val="auto"/>
          <w:kern w:val="0"/>
          <w:sz w:val="32"/>
          <w:szCs w:val="32"/>
          <w:highlight w:val="none"/>
        </w:rPr>
        <w:t>三）按既定政策标准测算补助事项</w:t>
      </w:r>
      <w:r>
        <w:rPr>
          <w:rFonts w:hint="eastAsia" w:ascii="华文楷体" w:hAnsi="华文楷体" w:eastAsia="华文楷体" w:cs="华文楷体"/>
          <w:b/>
          <w:bCs/>
          <w:color w:val="auto"/>
          <w:kern w:val="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 xml:space="preserve"> </w:t>
      </w:r>
      <w:r>
        <w:rPr>
          <w:rFonts w:hint="eastAsia" w:ascii="华文楷体" w:hAnsi="华文楷体" w:eastAsia="华文楷体" w:cs="华文楷体"/>
          <w:color w:val="auto"/>
          <w:kern w:val="0"/>
          <w:sz w:val="32"/>
          <w:szCs w:val="32"/>
          <w:highlight w:val="none"/>
        </w:rPr>
        <w:t>六、政府采购预算情况</w:t>
      </w:r>
      <w:r>
        <w:rPr>
          <w:rFonts w:hint="eastAsia" w:ascii="华文楷体" w:hAnsi="华文楷体" w:eastAsia="华文楷体" w:cs="华文楷体"/>
          <w:b/>
          <w:bCs/>
          <w:color w:val="auto"/>
          <w:kern w:val="0"/>
          <w:sz w:val="32"/>
          <w:szCs w:val="32"/>
          <w:highlight w:val="none"/>
          <w:lang w:eastAsia="zh-CN"/>
        </w:rPr>
        <w:t>（无）</w:t>
      </w:r>
    </w:p>
    <w:p>
      <w:pPr>
        <w:widowControl/>
        <w:numPr>
          <w:ilvl w:val="0"/>
          <w:numId w:val="0"/>
        </w:numPr>
        <w:ind w:firstLine="640" w:firstLineChars="200"/>
        <w:jc w:val="left"/>
        <w:rPr>
          <w:rFonts w:hint="eastAsia" w:ascii="华文楷体" w:hAnsi="华文楷体" w:eastAsia="华文楷体" w:cs="华文楷体"/>
          <w:b w:val="0"/>
          <w:bCs w:val="0"/>
          <w:color w:val="auto"/>
          <w:kern w:val="0"/>
          <w:sz w:val="32"/>
          <w:szCs w:val="32"/>
          <w:highlight w:val="none"/>
          <w:lang w:eastAsia="zh-CN"/>
        </w:rPr>
      </w:pPr>
      <w:r>
        <w:rPr>
          <w:rFonts w:hint="eastAsia" w:ascii="华文楷体" w:hAnsi="华文楷体" w:eastAsia="华文楷体" w:cs="华文楷体"/>
          <w:color w:val="auto"/>
          <w:kern w:val="0"/>
          <w:sz w:val="32"/>
          <w:szCs w:val="32"/>
          <w:highlight w:val="none"/>
          <w:lang w:val="en-US" w:eastAsia="zh-CN"/>
        </w:rPr>
        <w:t xml:space="preserve"> </w:t>
      </w:r>
      <w:r>
        <w:rPr>
          <w:rFonts w:hint="eastAsia" w:ascii="华文楷体" w:hAnsi="华文楷体" w:eastAsia="华文楷体" w:cs="华文楷体"/>
          <w:color w:val="auto"/>
          <w:kern w:val="0"/>
          <w:sz w:val="32"/>
          <w:szCs w:val="32"/>
          <w:highlight w:val="none"/>
          <w:lang w:eastAsia="zh-CN"/>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本部门2021年一般公共预算财政拨款“三公”经费预算合计3万元，与上年度3.2万元减少0.2万元，下降6.25%，具体变动情况如下：人员减少随之包干经费减少公务接待费费相应减少。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（一）因公出国（境）费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本部门2021年因公出国（境）费预算为0万元，较上年减少0万元，下降0%，共计安排因公出国（境）团组0个，因公出国（境）0人次。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（二）公务接待费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本部门2021年公务接待费预算为0.5万元，与上年度0.7万元减少0.2万元，下降28.57%，国内公务接待批次为5次，共计接待12人次。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增减变化原因2021年度单位实有人数较2020年减少1人包干经费随之减少公务接待费预算相应减少。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（三）公务用车购置及运行维护费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本部门2021年公务用车购置及运行维护费为2.5万元，与上年度2.5万元无增减变动。其中：公务用车购置费0万元，较上年增加（减少）0万元，增长（下降）0%；公务用车运行维护费2.5万元，与上年度2.5万元无增减变动。共计购置公务用车0辆，年末公务用车保有量为1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 xml:space="preserve"> </w:t>
      </w:r>
      <w:r>
        <w:rPr>
          <w:rFonts w:hint="eastAsia" w:ascii="华文楷体" w:hAnsi="华文楷体" w:eastAsia="华文楷体" w:cs="华文楷体"/>
          <w:color w:val="auto"/>
          <w:kern w:val="0"/>
          <w:sz w:val="32"/>
          <w:szCs w:val="32"/>
          <w:highlight w:val="none"/>
          <w:lang w:eastAsia="zh-CN"/>
        </w:rPr>
        <w:t>八、</w:t>
      </w:r>
      <w:r>
        <w:rPr>
          <w:rFonts w:hint="eastAsia" w:ascii="华文楷体" w:hAnsi="华文楷体" w:eastAsia="华文楷体" w:cs="华文楷体"/>
          <w:color w:val="auto"/>
          <w:kern w:val="0"/>
          <w:sz w:val="32"/>
          <w:szCs w:val="32"/>
          <w:highlight w:val="none"/>
        </w:rPr>
        <w:t>重点项目预算绩效目标情况</w:t>
      </w:r>
    </w:p>
    <w:p>
      <w:pPr>
        <w:snapToGrid w:val="0"/>
        <w:spacing w:line="590" w:lineRule="exact"/>
        <w:ind w:firstLine="696" w:firstLineChars="200"/>
        <w:rPr>
          <w:rFonts w:hint="eastAsia" w:ascii="宋体" w:hAnsi="宋体"/>
          <w:b/>
          <w:color w:val="000000"/>
          <w:sz w:val="24"/>
          <w:szCs w:val="24"/>
          <w:lang w:val="en-US" w:eastAsia="zh-CN"/>
        </w:rPr>
      </w:pPr>
      <w:r>
        <w:rPr>
          <w:rFonts w:hint="eastAsia" w:ascii="华文楷体" w:hAnsi="华文楷体" w:eastAsia="华文楷体" w:cs="华文楷体"/>
          <w:color w:val="auto"/>
          <w:spacing w:val="14"/>
          <w:sz w:val="32"/>
          <w:szCs w:val="32"/>
          <w:highlight w:val="none"/>
        </w:rPr>
        <w:t>（本条分项目填写部门重点项目预算的绩效目标）</w:t>
      </w:r>
      <w:r>
        <w:rPr>
          <w:rFonts w:hint="eastAsia" w:ascii="宋体" w:hAnsi="宋体"/>
          <w:b/>
          <w:color w:val="000000"/>
          <w:sz w:val="32"/>
          <w:szCs w:val="32"/>
          <w:lang w:val="en-US" w:eastAsia="zh-CN"/>
        </w:rPr>
        <w:t xml:space="preserve"> </w:t>
      </w:r>
    </w:p>
    <w:p>
      <w:pPr>
        <w:snapToGrid w:val="0"/>
        <w:spacing w:line="590" w:lineRule="exact"/>
        <w:ind w:firstLine="482" w:firstLineChars="20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2021</w:t>
      </w:r>
      <w:bookmarkStart w:id="0" w:name="_GoBack"/>
      <w:bookmarkEnd w:id="0"/>
      <w:r>
        <w:rPr>
          <w:rFonts w:hint="eastAsia" w:ascii="宋体" w:hAnsi="宋体"/>
          <w:b/>
          <w:color w:val="000000"/>
          <w:sz w:val="24"/>
          <w:szCs w:val="24"/>
          <w:lang w:val="en-US" w:eastAsia="zh-CN"/>
        </w:rPr>
        <w:t>年部门项目支出绩效目标表</w:t>
      </w:r>
    </w:p>
    <w:p>
      <w:pPr>
        <w:snapToGrid w:val="0"/>
        <w:spacing w:line="590" w:lineRule="exact"/>
        <w:ind w:firstLine="482" w:firstLineChars="200"/>
        <w:jc w:val="center"/>
        <w:rPr>
          <w:rFonts w:hint="eastAsia" w:ascii="宋体" w:hAnsi="宋体"/>
          <w:b/>
          <w:color w:val="000000"/>
          <w:sz w:val="24"/>
          <w:szCs w:val="24"/>
          <w:lang w:val="en-US" w:eastAsia="zh-CN"/>
        </w:rPr>
      </w:pPr>
    </w:p>
    <w:tbl>
      <w:tblPr>
        <w:tblStyle w:val="9"/>
        <w:tblW w:w="131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9"/>
        <w:gridCol w:w="1425"/>
        <w:gridCol w:w="1515"/>
        <w:gridCol w:w="2220"/>
        <w:gridCol w:w="1815"/>
        <w:gridCol w:w="1425"/>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2449" w:type="dxa"/>
            <w:tcBorders>
              <w:top w:val="nil"/>
              <w:left w:val="nil"/>
              <w:bottom w:val="nil"/>
              <w:right w:val="nil"/>
              <w:tl2br w:val="nil"/>
              <w:tr2bl w:val="nil"/>
            </w:tcBorders>
            <w:noWrap w:val="0"/>
            <w:vAlign w:val="top"/>
          </w:tcPr>
          <w:p>
            <w:pPr>
              <w:spacing w:beforeLines="0" w:afterLines="0"/>
              <w:jc w:val="both"/>
              <w:rPr>
                <w:rFonts w:hint="eastAsia" w:ascii="宋体" w:hAnsi="宋体" w:eastAsia="宋体"/>
                <w:b/>
                <w:color w:val="000000"/>
                <w:sz w:val="12"/>
                <w:lang w:val="en-US" w:eastAsia="zh-CN"/>
              </w:rPr>
            </w:pPr>
          </w:p>
        </w:tc>
        <w:tc>
          <w:tcPr>
            <w:tcW w:w="1425" w:type="dxa"/>
            <w:tcBorders>
              <w:top w:val="nil"/>
              <w:left w:val="nil"/>
              <w:bottom w:val="nil"/>
              <w:right w:val="nil"/>
              <w:tl2br w:val="nil"/>
              <w:tr2bl w:val="nil"/>
            </w:tcBorders>
            <w:noWrap w:val="0"/>
            <w:vAlign w:val="top"/>
          </w:tcPr>
          <w:p>
            <w:pPr>
              <w:spacing w:beforeLines="0" w:afterLines="0"/>
              <w:jc w:val="both"/>
              <w:rPr>
                <w:rFonts w:hint="default" w:ascii="Arial" w:hAnsi="Arial"/>
                <w:color w:val="000000"/>
                <w:sz w:val="12"/>
                <w:lang w:val="en-US"/>
              </w:rPr>
            </w:pPr>
          </w:p>
        </w:tc>
        <w:tc>
          <w:tcPr>
            <w:tcW w:w="151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2220"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181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142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rPr>
            </w:pPr>
          </w:p>
        </w:tc>
        <w:tc>
          <w:tcPr>
            <w:tcW w:w="2336"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2449" w:type="dxa"/>
            <w:tcBorders>
              <w:top w:val="nil"/>
              <w:left w:val="nil"/>
              <w:bottom w:val="nil"/>
              <w:right w:val="nil"/>
              <w:tl2br w:val="nil"/>
              <w:tr2bl w:val="nil"/>
            </w:tcBorders>
            <w:noWrap w:val="0"/>
            <w:vAlign w:val="top"/>
          </w:tcPr>
          <w:p>
            <w:pPr>
              <w:spacing w:beforeLines="0" w:afterLines="0"/>
              <w:jc w:val="both"/>
              <w:rPr>
                <w:rFonts w:hint="eastAsia" w:ascii="宋体" w:hAnsi="宋体" w:eastAsia="宋体"/>
                <w:b/>
                <w:color w:val="000000"/>
                <w:sz w:val="12"/>
                <w:lang w:val="en-US" w:eastAsia="zh-CN"/>
              </w:rPr>
            </w:pPr>
          </w:p>
        </w:tc>
        <w:tc>
          <w:tcPr>
            <w:tcW w:w="1425" w:type="dxa"/>
            <w:tcBorders>
              <w:top w:val="nil"/>
              <w:left w:val="nil"/>
              <w:bottom w:val="nil"/>
              <w:right w:val="nil"/>
              <w:tl2br w:val="nil"/>
              <w:tr2bl w:val="nil"/>
            </w:tcBorders>
            <w:noWrap w:val="0"/>
            <w:vAlign w:val="top"/>
          </w:tcPr>
          <w:p>
            <w:pPr>
              <w:spacing w:beforeLines="0" w:afterLines="0"/>
              <w:jc w:val="both"/>
              <w:rPr>
                <w:rFonts w:hint="default" w:ascii="Arial" w:hAnsi="Arial"/>
                <w:color w:val="000000"/>
                <w:sz w:val="12"/>
                <w:lang w:val="en-US"/>
              </w:rPr>
            </w:pPr>
          </w:p>
        </w:tc>
        <w:tc>
          <w:tcPr>
            <w:tcW w:w="151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2220"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181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lang w:val="en-US"/>
              </w:rPr>
            </w:pPr>
          </w:p>
        </w:tc>
        <w:tc>
          <w:tcPr>
            <w:tcW w:w="1425"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rPr>
            </w:pPr>
          </w:p>
        </w:tc>
        <w:tc>
          <w:tcPr>
            <w:tcW w:w="2336" w:type="dxa"/>
            <w:tcBorders>
              <w:top w:val="nil"/>
              <w:left w:val="nil"/>
              <w:bottom w:val="nil"/>
              <w:right w:val="nil"/>
              <w:tl2br w:val="nil"/>
              <w:tr2bl w:val="nil"/>
            </w:tcBorders>
            <w:noWrap w:val="0"/>
            <w:vAlign w:val="top"/>
          </w:tcPr>
          <w:p>
            <w:pPr>
              <w:spacing w:beforeLines="0" w:afterLines="0"/>
              <w:jc w:val="right"/>
              <w:rPr>
                <w:rFonts w:hint="default" w:ascii="Arial" w:hAnsi="Arial"/>
                <w:color w:val="000000"/>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单位名称(项目名称)</w:t>
            </w:r>
          </w:p>
        </w:tc>
        <w:tc>
          <w:tcPr>
            <w:tcW w:w="142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项目绩效指标</w:t>
            </w:r>
          </w:p>
        </w:tc>
        <w:tc>
          <w:tcPr>
            <w:tcW w:w="1515" w:type="dxa"/>
            <w:tcBorders>
              <w:top w:val="single" w:color="000000" w:sz="6" w:space="0"/>
              <w:left w:val="nil"/>
              <w:bottom w:val="single" w:color="000000" w:sz="6" w:space="0"/>
              <w:right w:val="nil"/>
              <w:tl2br w:val="nil"/>
              <w:tr2bl w:val="nil"/>
            </w:tcBorders>
            <w:shd w:val="clear" w:color="auto" w:fill="auto"/>
            <w:noWrap w:val="0"/>
            <w:vAlign w:val="top"/>
          </w:tcPr>
          <w:p>
            <w:pPr>
              <w:spacing w:beforeLines="0" w:afterLines="0"/>
              <w:jc w:val="right"/>
              <w:rPr>
                <w:rFonts w:hint="default" w:ascii="Arial" w:hAnsi="Arial"/>
                <w:color w:val="000000"/>
                <w:sz w:val="13"/>
                <w:szCs w:val="13"/>
              </w:rPr>
            </w:pPr>
          </w:p>
        </w:tc>
        <w:tc>
          <w:tcPr>
            <w:tcW w:w="2220" w:type="dxa"/>
            <w:tcBorders>
              <w:top w:val="single" w:color="000000" w:sz="6" w:space="0"/>
              <w:left w:val="nil"/>
              <w:bottom w:val="single" w:color="000000" w:sz="6" w:space="0"/>
              <w:right w:val="single" w:color="000000" w:sz="6" w:space="0"/>
              <w:tl2br w:val="nil"/>
              <w:tr2bl w:val="nil"/>
            </w:tcBorders>
            <w:shd w:val="clear" w:color="auto" w:fill="auto"/>
            <w:noWrap w:val="0"/>
            <w:vAlign w:val="top"/>
          </w:tcPr>
          <w:p>
            <w:pPr>
              <w:spacing w:beforeLines="0" w:afterLines="0"/>
              <w:jc w:val="right"/>
              <w:rPr>
                <w:rFonts w:hint="default" w:ascii="Arial" w:hAnsi="Arial"/>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指标值（项目绩效目标预计完成情况）</w:t>
            </w:r>
          </w:p>
        </w:tc>
        <w:tc>
          <w:tcPr>
            <w:tcW w:w="142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绩效指标值数据来源</w:t>
            </w:r>
          </w:p>
        </w:tc>
        <w:tc>
          <w:tcPr>
            <w:tcW w:w="2336"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nil"/>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right"/>
              <w:rPr>
                <w:rFonts w:hint="default" w:ascii="Arial" w:hAnsi="Arial"/>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一级指标</w:t>
            </w:r>
          </w:p>
        </w:tc>
        <w:tc>
          <w:tcPr>
            <w:tcW w:w="151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二级指标</w:t>
            </w:r>
          </w:p>
        </w:tc>
        <w:tc>
          <w:tcPr>
            <w:tcW w:w="2220"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三级指标</w:t>
            </w:r>
          </w:p>
        </w:tc>
        <w:tc>
          <w:tcPr>
            <w:tcW w:w="1815" w:type="dxa"/>
            <w:tcBorders>
              <w:top w:val="nil"/>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right"/>
              <w:rPr>
                <w:rFonts w:hint="default" w:ascii="Arial" w:hAnsi="Arial"/>
                <w:color w:val="000000"/>
                <w:sz w:val="13"/>
                <w:szCs w:val="13"/>
              </w:rPr>
            </w:pPr>
          </w:p>
        </w:tc>
        <w:tc>
          <w:tcPr>
            <w:tcW w:w="1425" w:type="dxa"/>
            <w:tcBorders>
              <w:top w:val="nil"/>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right"/>
              <w:rPr>
                <w:rFonts w:hint="default" w:ascii="Arial" w:hAnsi="Arial"/>
                <w:color w:val="000000"/>
                <w:sz w:val="13"/>
                <w:szCs w:val="13"/>
              </w:rPr>
            </w:pPr>
          </w:p>
        </w:tc>
        <w:tc>
          <w:tcPr>
            <w:tcW w:w="2336" w:type="dxa"/>
            <w:tcBorders>
              <w:top w:val="nil"/>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right"/>
              <w:rPr>
                <w:rFonts w:hint="default" w:ascii="Arial" w:hAnsi="Arial"/>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1</w:t>
            </w:r>
          </w:p>
        </w:tc>
        <w:tc>
          <w:tcPr>
            <w:tcW w:w="142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2</w:t>
            </w:r>
          </w:p>
        </w:tc>
        <w:tc>
          <w:tcPr>
            <w:tcW w:w="151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3</w:t>
            </w:r>
          </w:p>
        </w:tc>
        <w:tc>
          <w:tcPr>
            <w:tcW w:w="2220"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4</w:t>
            </w:r>
          </w:p>
        </w:tc>
        <w:tc>
          <w:tcPr>
            <w:tcW w:w="181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5</w:t>
            </w:r>
          </w:p>
        </w:tc>
        <w:tc>
          <w:tcPr>
            <w:tcW w:w="1425"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6</w:t>
            </w:r>
          </w:p>
        </w:tc>
        <w:tc>
          <w:tcPr>
            <w:tcW w:w="2336" w:type="dxa"/>
            <w:tcBorders>
              <w:top w:val="single" w:color="000000" w:sz="6" w:space="0"/>
              <w:left w:val="single" w:color="000000" w:sz="6" w:space="0"/>
              <w:bottom w:val="single" w:color="000000" w:sz="6" w:space="0"/>
              <w:right w:val="single" w:color="000000" w:sz="6" w:space="0"/>
              <w:tl2br w:val="nil"/>
              <w:tr2bl w:val="nil"/>
            </w:tcBorders>
            <w:shd w:val="solid" w:color="99CCFF" w:fill="auto"/>
            <w:noWrap w:val="0"/>
            <w:vAlign w:val="top"/>
          </w:tcPr>
          <w:p>
            <w:pPr>
              <w:spacing w:beforeLines="0" w:afterLines="0"/>
              <w:jc w:val="center"/>
              <w:rPr>
                <w:rFonts w:hint="eastAsia" w:ascii="宋体" w:hAnsi="宋体"/>
                <w:color w:val="000000"/>
                <w:sz w:val="13"/>
                <w:szCs w:val="13"/>
              </w:rPr>
            </w:pPr>
            <w:r>
              <w:rPr>
                <w:rFonts w:hint="eastAsia" w:ascii="宋体" w:hAnsi="宋体"/>
                <w:color w:val="000000"/>
                <w:sz w:val="13"/>
                <w:szCs w:val="13"/>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社保科</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迪庆藏族自治州卫生健康委员会</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迪庆藏族自治州卫生计生执法监督局</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卫生监督执法经费</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both"/>
              <w:rPr>
                <w:rFonts w:hint="eastAsia" w:ascii="宋体" w:hAnsi="宋体"/>
                <w:color w:val="000000"/>
                <w:sz w:val="13"/>
                <w:szCs w:val="13"/>
              </w:rPr>
            </w:pPr>
            <w:r>
              <w:rPr>
                <w:rFonts w:hint="eastAsia" w:ascii="宋体" w:hAnsi="宋体"/>
                <w:color w:val="000000"/>
                <w:sz w:val="13"/>
                <w:szCs w:val="13"/>
              </w:rPr>
              <w:t xml:space="preserve"> 满意度指标—服务对象满意度指标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卫生计生执法监督、卫生监督机构</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卫生计生执法监督社会满意度</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社会满意度90%以上。</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服务对象社会满意度问卷调查</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加强卫生计生综合监督行政执法是维护群众健康权益的重要保障。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效益指标—社会效益指标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卫生计生执法监督、卫生监督机构</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卫生计生执法监督工作年度计划完成率及国家级省级“双随机任务完成率、履行单位工作职责完成率</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责任目标完成率100%，</w:t>
            </w:r>
          </w:p>
          <w:p>
            <w:pPr>
              <w:spacing w:beforeLines="0" w:afterLines="0"/>
              <w:jc w:val="left"/>
              <w:rPr>
                <w:rFonts w:hint="eastAsia" w:ascii="宋体" w:hAnsi="宋体"/>
                <w:color w:val="000000"/>
                <w:sz w:val="13"/>
                <w:szCs w:val="13"/>
              </w:rPr>
            </w:pPr>
            <w:r>
              <w:rPr>
                <w:rFonts w:hint="eastAsia" w:ascii="宋体" w:hAnsi="宋体"/>
                <w:color w:val="000000"/>
                <w:sz w:val="13"/>
                <w:szCs w:val="13"/>
              </w:rPr>
              <w:t>国家及省级“双随机任务完</w:t>
            </w:r>
          </w:p>
          <w:p>
            <w:pPr>
              <w:spacing w:beforeLines="0" w:afterLines="0"/>
              <w:jc w:val="left"/>
              <w:rPr>
                <w:rFonts w:hint="eastAsia" w:ascii="宋体" w:hAnsi="宋体"/>
                <w:color w:val="000000"/>
                <w:sz w:val="13"/>
                <w:szCs w:val="13"/>
              </w:rPr>
            </w:pPr>
            <w:r>
              <w:rPr>
                <w:rFonts w:hint="eastAsia" w:ascii="宋体" w:hAnsi="宋体"/>
                <w:color w:val="000000"/>
                <w:sz w:val="13"/>
                <w:szCs w:val="13"/>
              </w:rPr>
              <w:t>成率100%”。</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责任目标考核、国家及省级“双随机任务考核</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加强卫生计生综合监督行政执法是维护群众健康权益的重要保障。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效益指标—社会效益指标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卫生计生执法监督、卫生监督机构</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卫生计生执法监督监督覆盖率</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监督覆盖率100%，履行好</w:t>
            </w:r>
          </w:p>
          <w:p>
            <w:pPr>
              <w:spacing w:beforeLines="0" w:afterLines="0"/>
              <w:jc w:val="left"/>
              <w:rPr>
                <w:rFonts w:hint="eastAsia" w:ascii="宋体" w:hAnsi="宋体"/>
                <w:color w:val="000000"/>
                <w:sz w:val="13"/>
                <w:szCs w:val="13"/>
              </w:rPr>
            </w:pPr>
            <w:r>
              <w:rPr>
                <w:rFonts w:hint="eastAsia" w:ascii="宋体" w:hAnsi="宋体"/>
                <w:color w:val="000000"/>
                <w:sz w:val="13"/>
                <w:szCs w:val="13"/>
              </w:rPr>
              <w:t>单位工作职责，维护广大</w:t>
            </w:r>
          </w:p>
          <w:p>
            <w:pPr>
              <w:spacing w:beforeLines="0" w:afterLines="0"/>
              <w:jc w:val="left"/>
              <w:rPr>
                <w:rFonts w:hint="eastAsia" w:ascii="宋体" w:hAnsi="宋体"/>
                <w:color w:val="000000"/>
                <w:sz w:val="13"/>
                <w:szCs w:val="13"/>
              </w:rPr>
            </w:pPr>
            <w:r>
              <w:rPr>
                <w:rFonts w:hint="eastAsia" w:ascii="宋体" w:hAnsi="宋体"/>
                <w:color w:val="000000"/>
                <w:sz w:val="13"/>
                <w:szCs w:val="13"/>
              </w:rPr>
              <w:t>人民群众身体健康。</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责任目标考核</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加强卫生计生综合监督行政执法是维护群众健康权益的重要保障。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饮用水卫生监督经费</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满意度指标—服务对象满意度指标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饮用水卫生监督、重大公共卫生专项</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社会满意度</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社会满意度90%以上</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服务对象社会满意度问卷调查</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保证生活饮用水卫生安全，保障人体健康。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效益指标—社会效益指标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饮用水卫生监督、重大公共卫生专项</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监督覆盖率</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监督覆盖率100%.单位年度工作</w:t>
            </w:r>
          </w:p>
          <w:p>
            <w:pPr>
              <w:spacing w:beforeLines="0" w:afterLines="0"/>
              <w:jc w:val="left"/>
              <w:rPr>
                <w:rFonts w:hint="eastAsia" w:ascii="宋体" w:hAnsi="宋体"/>
                <w:color w:val="000000"/>
                <w:sz w:val="13"/>
                <w:szCs w:val="13"/>
              </w:rPr>
            </w:pPr>
            <w:r>
              <w:rPr>
                <w:rFonts w:hint="eastAsia" w:ascii="宋体" w:hAnsi="宋体"/>
                <w:color w:val="000000"/>
                <w:sz w:val="13"/>
                <w:szCs w:val="13"/>
              </w:rPr>
              <w:t>计划完成率100%.履行单位工作职责</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单位年度工作计划、、国家及省级“双随机”任务、单位工作职责</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保证生活饮用水卫生安全，保障人体健康。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44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 xml:space="preserve"> 效益指标—社会效益指标</w:t>
            </w:r>
          </w:p>
        </w:tc>
        <w:tc>
          <w:tcPr>
            <w:tcW w:w="15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饮用水卫生监督、重大公共卫生专项</w:t>
            </w:r>
          </w:p>
        </w:tc>
        <w:tc>
          <w:tcPr>
            <w:tcW w:w="22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单位年度工作计划完成率，国家及省级“双随机”任务完成率、履行单位工作职责完成率</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单位年度工作计划完成率100%，</w:t>
            </w:r>
          </w:p>
          <w:p>
            <w:pPr>
              <w:spacing w:beforeLines="0" w:afterLines="0"/>
              <w:jc w:val="left"/>
              <w:rPr>
                <w:rFonts w:hint="eastAsia" w:ascii="宋体" w:hAnsi="宋体"/>
                <w:color w:val="000000"/>
                <w:sz w:val="13"/>
                <w:szCs w:val="13"/>
              </w:rPr>
            </w:pPr>
            <w:r>
              <w:rPr>
                <w:rFonts w:hint="eastAsia" w:ascii="宋体" w:hAnsi="宋体"/>
                <w:color w:val="000000"/>
                <w:sz w:val="13"/>
                <w:szCs w:val="13"/>
              </w:rPr>
              <w:t>国家及省级“双随机”任务完成率</w:t>
            </w:r>
          </w:p>
          <w:p>
            <w:pPr>
              <w:spacing w:beforeLines="0" w:afterLines="0"/>
              <w:jc w:val="left"/>
              <w:rPr>
                <w:rFonts w:hint="eastAsia" w:ascii="宋体" w:hAnsi="宋体"/>
                <w:color w:val="000000"/>
                <w:sz w:val="13"/>
                <w:szCs w:val="13"/>
              </w:rPr>
            </w:pPr>
            <w:r>
              <w:rPr>
                <w:rFonts w:hint="eastAsia" w:ascii="宋体" w:hAnsi="宋体"/>
                <w:color w:val="000000"/>
                <w:sz w:val="13"/>
                <w:szCs w:val="13"/>
              </w:rPr>
              <w:t>100%履行单位工作职责完成率</w:t>
            </w:r>
          </w:p>
        </w:tc>
        <w:tc>
          <w:tcPr>
            <w:tcW w:w="14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单位年度工作计划、、国家及省级“双随机”任务、单位工作职责</w:t>
            </w:r>
          </w:p>
        </w:tc>
        <w:tc>
          <w:tcPr>
            <w:tcW w:w="23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13"/>
                <w:szCs w:val="13"/>
              </w:rPr>
            </w:pPr>
            <w:r>
              <w:rPr>
                <w:rFonts w:hint="eastAsia" w:ascii="宋体" w:hAnsi="宋体"/>
                <w:color w:val="000000"/>
                <w:sz w:val="13"/>
                <w:szCs w:val="13"/>
              </w:rPr>
              <w:t>保证生活饮用水卫生安全，保障人体健康。</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eastAsia="zh-CN"/>
        </w:rPr>
        <w:t>九</w:t>
      </w:r>
      <w:r>
        <w:rPr>
          <w:rFonts w:hint="eastAsia" w:ascii="华文楷体" w:hAnsi="华文楷体" w:eastAsia="华文楷体" w:cs="华文楷体"/>
          <w:color w:val="auto"/>
          <w:kern w:val="0"/>
          <w:sz w:val="32"/>
          <w:szCs w:val="32"/>
          <w:highlight w:val="none"/>
        </w:rPr>
        <w:t>、其他公开信息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rPr>
        <w:t>（一）专业名词解释</w:t>
      </w:r>
    </w:p>
    <w:p>
      <w:pPr>
        <w:widowControl/>
        <w:ind w:left="958" w:leftChars="304" w:hanging="320" w:hanging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rPr>
        <w:t xml:space="preserve">1、 </w:t>
      </w:r>
      <w:r>
        <w:rPr>
          <w:rFonts w:hint="eastAsia" w:ascii="华文楷体" w:hAnsi="华文楷体" w:eastAsia="华文楷体" w:cs="华文楷体"/>
          <w:kern w:val="0"/>
          <w:sz w:val="32"/>
          <w:szCs w:val="32"/>
          <w:lang w:val="en-US" w:eastAsia="zh-CN" w:bidi="ar"/>
        </w:rPr>
        <w:t>基本支出---是指单位为保障机关正常运转和完成日常工作任务发生的支出，包括人员</w:t>
      </w:r>
    </w:p>
    <w:p>
      <w:pPr>
        <w:widowControl/>
        <w:ind w:left="319" w:leftChars="152" w:firstLine="0" w:firstLineChars="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劳动报酬，个人福利等为基本内容的人员经费支出和以维持行政单位正常运转而发生的办公经费支出。</w:t>
      </w:r>
    </w:p>
    <w:p>
      <w:pPr>
        <w:widowControl/>
        <w:numPr>
          <w:ilvl w:val="0"/>
          <w:numId w:val="3"/>
        </w:numPr>
        <w:ind w:left="958" w:leftChars="304" w:hanging="320" w:hanging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项目支出---是指事业单位为完成特定工作任务，在基本支出以外发生的专项支出,是保</w:t>
      </w:r>
    </w:p>
    <w:p>
      <w:pPr>
        <w:widowControl/>
        <w:numPr>
          <w:ilvl w:val="0"/>
          <w:numId w:val="0"/>
        </w:numPr>
        <w:ind w:firstLine="320" w:firstLine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证行政单位基本支出的基础上，对某项或特定工作任务所安排的专项资金保障。</w:t>
      </w:r>
    </w:p>
    <w:p>
      <w:pPr>
        <w:widowControl/>
        <w:ind w:left="958" w:leftChars="304" w:hanging="320" w:hanging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3、商品和服务支出 ----- 是指单位购买商品和服务的支出（开展业务活动开支的公用经费），</w:t>
      </w:r>
    </w:p>
    <w:p>
      <w:pPr>
        <w:widowControl/>
        <w:ind w:firstLine="320" w:firstLine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包括办公费、印刷费、手续费、水费、电费、邮电费、取暖费、物业管理费、差旅费、维</w:t>
      </w:r>
    </w:p>
    <w:p>
      <w:pPr>
        <w:widowControl/>
        <w:ind w:firstLine="320" w:firstLineChars="100"/>
        <w:jc w:val="left"/>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修费、会议费、培训费、公务接待费、材料费、公务用车运行维护费、工会经费、福利费</w:t>
      </w:r>
    </w:p>
    <w:p>
      <w:pPr>
        <w:widowControl/>
        <w:ind w:firstLine="320" w:firstLineChars="100"/>
        <w:jc w:val="left"/>
        <w:rPr>
          <w:rFonts w:hint="eastAsia" w:ascii="华文楷体" w:hAnsi="华文楷体" w:eastAsia="华文楷体" w:cs="华文楷体"/>
          <w:b/>
          <w:kern w:val="0"/>
          <w:sz w:val="32"/>
          <w:szCs w:val="32"/>
          <w:lang w:val="en-US" w:eastAsia="zh-CN"/>
        </w:rPr>
      </w:pPr>
      <w:r>
        <w:rPr>
          <w:rFonts w:hint="eastAsia" w:ascii="华文楷体" w:hAnsi="华文楷体" w:eastAsia="华文楷体" w:cs="华文楷体"/>
          <w:kern w:val="0"/>
          <w:sz w:val="32"/>
          <w:szCs w:val="32"/>
          <w:lang w:val="en-US" w:eastAsia="zh-CN" w:bidi="ar"/>
        </w:rPr>
        <w:t>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0"/>
          <w:szCs w:val="30"/>
          <w:highlight w:val="none"/>
        </w:rPr>
        <w:t>（二）机关运行经费安排变化情况及原因</w:t>
      </w:r>
      <w:r>
        <w:rPr>
          <w:rFonts w:hint="eastAsia" w:ascii="华文楷体" w:hAnsi="华文楷体" w:eastAsia="华文楷体" w:cs="华文楷体"/>
          <w:color w:val="auto"/>
          <w:kern w:val="0"/>
          <w:sz w:val="30"/>
          <w:szCs w:val="30"/>
          <w:highlight w:val="none"/>
          <w:lang w:eastAsia="zh-CN"/>
        </w:rPr>
        <w:t>说明</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华文楷体" w:hAnsi="华文楷体" w:eastAsia="华文楷体" w:cs="华文楷体"/>
          <w:b w:val="0"/>
          <w:bCs w:val="0"/>
          <w:color w:val="auto"/>
          <w:kern w:val="0"/>
          <w:sz w:val="32"/>
          <w:szCs w:val="32"/>
          <w:highlight w:val="none"/>
        </w:rPr>
      </w:pPr>
      <w:r>
        <w:rPr>
          <w:rFonts w:hint="eastAsia" w:ascii="华文楷体" w:hAnsi="华文楷体" w:eastAsia="华文楷体" w:cs="华文楷体"/>
          <w:color w:val="auto"/>
          <w:kern w:val="0"/>
          <w:sz w:val="32"/>
          <w:szCs w:val="32"/>
          <w:highlight w:val="none"/>
          <w:lang w:val="en-US" w:eastAsia="zh-CN"/>
        </w:rPr>
        <w:t>本部门2021年机关运行经费安排11.84万元，与上年</w:t>
      </w:r>
      <w:r>
        <w:rPr>
          <w:rFonts w:hint="eastAsia" w:ascii="华文楷体" w:hAnsi="华文楷体" w:eastAsia="华文楷体" w:cs="华文楷体"/>
          <w:b w:val="0"/>
          <w:bCs/>
          <w:kern w:val="0"/>
          <w:sz w:val="32"/>
          <w:szCs w:val="32"/>
          <w:lang w:val="en-US" w:eastAsia="zh-CN"/>
        </w:rPr>
        <w:t>17.35万元</w:t>
      </w:r>
      <w:r>
        <w:rPr>
          <w:rFonts w:hint="eastAsia" w:ascii="华文楷体" w:hAnsi="华文楷体" w:eastAsia="华文楷体" w:cs="华文楷体"/>
          <w:color w:val="auto"/>
          <w:kern w:val="0"/>
          <w:sz w:val="32"/>
          <w:szCs w:val="32"/>
          <w:highlight w:val="none"/>
          <w:lang w:val="en-US" w:eastAsia="zh-CN"/>
        </w:rPr>
        <w:t>对比</w:t>
      </w:r>
      <w:r>
        <w:rPr>
          <w:rFonts w:hint="eastAsia" w:ascii="华文楷体" w:hAnsi="华文楷体" w:eastAsia="华文楷体" w:cs="华文楷体"/>
          <w:b w:val="0"/>
          <w:bCs w:val="0"/>
          <w:color w:val="auto"/>
          <w:kern w:val="0"/>
          <w:sz w:val="32"/>
          <w:szCs w:val="32"/>
          <w:highlight w:val="none"/>
          <w:lang w:val="en-US" w:eastAsia="zh-CN"/>
        </w:rPr>
        <w:t>减少5.51万元</w:t>
      </w:r>
      <w:r>
        <w:rPr>
          <w:rFonts w:hint="eastAsia" w:ascii="华文楷体" w:hAnsi="华文楷体" w:eastAsia="华文楷体" w:cs="华文楷体"/>
          <w:b w:val="0"/>
          <w:bCs w:val="0"/>
          <w:color w:val="auto"/>
          <w:kern w:val="0"/>
          <w:sz w:val="32"/>
          <w:szCs w:val="32"/>
          <w:highlight w:val="none"/>
          <w:lang w:eastAsia="zh-CN"/>
        </w:rPr>
        <w:t>，</w:t>
      </w:r>
      <w:r>
        <w:rPr>
          <w:rFonts w:hint="eastAsia" w:ascii="华文楷体" w:hAnsi="华文楷体" w:eastAsia="华文楷体" w:cs="华文楷体"/>
          <w:color w:val="auto"/>
          <w:kern w:val="0"/>
          <w:sz w:val="32"/>
          <w:szCs w:val="32"/>
          <w:highlight w:val="none"/>
          <w:lang w:val="en-US" w:eastAsia="zh-CN"/>
        </w:rPr>
        <w:t>主要原因办公费支出较上年减少</w:t>
      </w:r>
      <w:r>
        <w:rPr>
          <w:rFonts w:hint="eastAsia" w:ascii="华文楷体" w:hAnsi="华文楷体" w:eastAsia="华文楷体" w:cs="华文楷体"/>
          <w:b w:val="0"/>
          <w:bCs w:val="0"/>
          <w:color w:val="auto"/>
          <w:kern w:val="0"/>
          <w:sz w:val="32"/>
          <w:szCs w:val="32"/>
          <w:highlight w:val="none"/>
          <w:lang w:eastAsia="zh-CN"/>
        </w:rPr>
        <w:t>。</w:t>
      </w:r>
    </w:p>
    <w:p>
      <w:pPr>
        <w:widowControl/>
        <w:ind w:firstLine="640" w:firstLineChars="200"/>
        <w:jc w:val="left"/>
        <w:rPr>
          <w:rFonts w:hint="eastAsia" w:ascii="华文楷体" w:hAnsi="华文楷体" w:eastAsia="华文楷体" w:cs="华文楷体"/>
          <w:color w:val="auto"/>
          <w:kern w:val="0"/>
          <w:sz w:val="32"/>
          <w:szCs w:val="32"/>
          <w:highlight w:val="none"/>
        </w:rPr>
      </w:pPr>
      <w:r>
        <w:rPr>
          <w:rFonts w:hint="eastAsia" w:ascii="华文楷体" w:hAnsi="华文楷体" w:eastAsia="华文楷体" w:cs="华文楷体"/>
          <w:color w:val="auto"/>
          <w:kern w:val="0"/>
          <w:sz w:val="32"/>
          <w:szCs w:val="32"/>
          <w:highlight w:val="none"/>
          <w:lang w:eastAsia="zh-CN"/>
        </w:rPr>
        <w:t>（三）</w:t>
      </w:r>
      <w:r>
        <w:rPr>
          <w:rFonts w:hint="eastAsia" w:ascii="华文楷体" w:hAnsi="华文楷体" w:eastAsia="华文楷体" w:cs="华文楷体"/>
          <w:color w:val="auto"/>
          <w:kern w:val="0"/>
          <w:sz w:val="32"/>
          <w:szCs w:val="32"/>
          <w:highlight w:val="none"/>
        </w:rPr>
        <w:t>国有资产占用情况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color w:val="auto"/>
          <w:kern w:val="0"/>
          <w:sz w:val="32"/>
          <w:szCs w:val="32"/>
          <w:highlight w:val="none"/>
          <w:lang w:val="en-US" w:eastAsia="zh-CN"/>
        </w:rPr>
      </w:pPr>
      <w:r>
        <w:rPr>
          <w:rFonts w:hint="eastAsia" w:ascii="华文楷体" w:hAnsi="华文楷体" w:eastAsia="华文楷体" w:cs="华文楷体"/>
          <w:color w:val="auto"/>
          <w:kern w:val="0"/>
          <w:sz w:val="32"/>
          <w:szCs w:val="32"/>
          <w:highlight w:val="none"/>
          <w:lang w:val="en-US" w:eastAsia="zh-CN"/>
        </w:rPr>
        <w:t>鉴于截至2021年12月31日的国有资产占有使用情况需在完成2021年决算编制后才能统计汇总相关数据，因此，将在公开2021年度部门决算时一并公开部门截至2021年12月31日的国有资产占有使用情况。</w:t>
      </w:r>
    </w:p>
    <w:sectPr>
      <w:headerReference r:id="rId3" w:type="default"/>
      <w:footerReference r:id="rId5" w:type="default"/>
      <w:headerReference r:id="rId4" w:type="even"/>
      <w:pgSz w:w="16838" w:h="11906" w:orient="landscape"/>
      <w:pgMar w:top="1797" w:right="1984" w:bottom="179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FCB2A"/>
    <w:multiLevelType w:val="singleLevel"/>
    <w:tmpl w:val="A17FCB2A"/>
    <w:lvl w:ilvl="0" w:tentative="0">
      <w:start w:val="2"/>
      <w:numFmt w:val="decimal"/>
      <w:suff w:val="nothing"/>
      <w:lvlText w:val="%1、"/>
      <w:lvlJc w:val="left"/>
    </w:lvl>
  </w:abstractNum>
  <w:abstractNum w:abstractNumId="1">
    <w:nsid w:val="5C47DBBF"/>
    <w:multiLevelType w:val="singleLevel"/>
    <w:tmpl w:val="5C47DBBF"/>
    <w:lvl w:ilvl="0" w:tentative="0">
      <w:start w:val="4"/>
      <w:numFmt w:val="chineseCounting"/>
      <w:suff w:val="nothing"/>
      <w:lvlText w:val="%1、"/>
      <w:lvlJc w:val="left"/>
    </w:lvl>
  </w:abstractNum>
  <w:abstractNum w:abstractNumId="2">
    <w:nsid w:val="5C47DC0A"/>
    <w:multiLevelType w:val="singleLevel"/>
    <w:tmpl w:val="5C47DC0A"/>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5843"/>
    <w:rsid w:val="000860FB"/>
    <w:rsid w:val="000952C1"/>
    <w:rsid w:val="00096A53"/>
    <w:rsid w:val="000A07EA"/>
    <w:rsid w:val="000A1122"/>
    <w:rsid w:val="000A74AF"/>
    <w:rsid w:val="000A7B19"/>
    <w:rsid w:val="000B0125"/>
    <w:rsid w:val="000B59B5"/>
    <w:rsid w:val="000B5BAB"/>
    <w:rsid w:val="000B7EA9"/>
    <w:rsid w:val="000C3AE5"/>
    <w:rsid w:val="000C5123"/>
    <w:rsid w:val="000D4394"/>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44C9"/>
    <w:rsid w:val="0032468B"/>
    <w:rsid w:val="00327119"/>
    <w:rsid w:val="003333E4"/>
    <w:rsid w:val="00336580"/>
    <w:rsid w:val="0034184B"/>
    <w:rsid w:val="003535EB"/>
    <w:rsid w:val="00354D29"/>
    <w:rsid w:val="00356356"/>
    <w:rsid w:val="00360593"/>
    <w:rsid w:val="00360EF7"/>
    <w:rsid w:val="00361A07"/>
    <w:rsid w:val="003710A2"/>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5E38"/>
    <w:rsid w:val="00456CDD"/>
    <w:rsid w:val="004605B3"/>
    <w:rsid w:val="00467CD2"/>
    <w:rsid w:val="004718A9"/>
    <w:rsid w:val="00476EC1"/>
    <w:rsid w:val="00480582"/>
    <w:rsid w:val="0048694C"/>
    <w:rsid w:val="004911B1"/>
    <w:rsid w:val="00495E43"/>
    <w:rsid w:val="004A362F"/>
    <w:rsid w:val="004A742B"/>
    <w:rsid w:val="004B29ED"/>
    <w:rsid w:val="004C064B"/>
    <w:rsid w:val="004D26D3"/>
    <w:rsid w:val="004D3A59"/>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245F"/>
    <w:rsid w:val="005D3061"/>
    <w:rsid w:val="005D6260"/>
    <w:rsid w:val="005D6D58"/>
    <w:rsid w:val="005E6A58"/>
    <w:rsid w:val="005F310F"/>
    <w:rsid w:val="00602B8A"/>
    <w:rsid w:val="0060314C"/>
    <w:rsid w:val="00614B12"/>
    <w:rsid w:val="006150EC"/>
    <w:rsid w:val="006164DB"/>
    <w:rsid w:val="0061679D"/>
    <w:rsid w:val="006253D8"/>
    <w:rsid w:val="00626153"/>
    <w:rsid w:val="006374A1"/>
    <w:rsid w:val="006540CB"/>
    <w:rsid w:val="00660B2A"/>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4210A"/>
    <w:rsid w:val="00845657"/>
    <w:rsid w:val="0084624C"/>
    <w:rsid w:val="00851C1D"/>
    <w:rsid w:val="00864E02"/>
    <w:rsid w:val="00874702"/>
    <w:rsid w:val="008775B4"/>
    <w:rsid w:val="008808A6"/>
    <w:rsid w:val="00885B69"/>
    <w:rsid w:val="008A159E"/>
    <w:rsid w:val="008A38E5"/>
    <w:rsid w:val="008A3F94"/>
    <w:rsid w:val="008A4B32"/>
    <w:rsid w:val="008A6037"/>
    <w:rsid w:val="008B2777"/>
    <w:rsid w:val="008B3519"/>
    <w:rsid w:val="008B4667"/>
    <w:rsid w:val="008B7085"/>
    <w:rsid w:val="008C0CBC"/>
    <w:rsid w:val="008C1602"/>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C01D14"/>
    <w:rsid w:val="00C04DD5"/>
    <w:rsid w:val="00C073D6"/>
    <w:rsid w:val="00C12785"/>
    <w:rsid w:val="00C14D2D"/>
    <w:rsid w:val="00C15327"/>
    <w:rsid w:val="00C205DD"/>
    <w:rsid w:val="00C242B2"/>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7004"/>
    <w:rsid w:val="00FD06A0"/>
    <w:rsid w:val="00FD13FB"/>
    <w:rsid w:val="00FD228E"/>
    <w:rsid w:val="00FD4E9B"/>
    <w:rsid w:val="00FE1A2F"/>
    <w:rsid w:val="00FE5F50"/>
    <w:rsid w:val="00FF1B25"/>
    <w:rsid w:val="00FF7A85"/>
    <w:rsid w:val="012130A3"/>
    <w:rsid w:val="0536307D"/>
    <w:rsid w:val="06496CCC"/>
    <w:rsid w:val="067B2128"/>
    <w:rsid w:val="0949650C"/>
    <w:rsid w:val="097A0BB3"/>
    <w:rsid w:val="09C8512D"/>
    <w:rsid w:val="0AA11C50"/>
    <w:rsid w:val="0ABC46AF"/>
    <w:rsid w:val="0C274E5D"/>
    <w:rsid w:val="0CFC325B"/>
    <w:rsid w:val="0DB05986"/>
    <w:rsid w:val="100401B6"/>
    <w:rsid w:val="12C90594"/>
    <w:rsid w:val="13F93DBC"/>
    <w:rsid w:val="155A1D55"/>
    <w:rsid w:val="16D97DF2"/>
    <w:rsid w:val="18076171"/>
    <w:rsid w:val="191C7793"/>
    <w:rsid w:val="1E303C76"/>
    <w:rsid w:val="1F267983"/>
    <w:rsid w:val="1F554455"/>
    <w:rsid w:val="1FE86BC6"/>
    <w:rsid w:val="2039431F"/>
    <w:rsid w:val="20997D9A"/>
    <w:rsid w:val="21BF4FF8"/>
    <w:rsid w:val="21F1277F"/>
    <w:rsid w:val="23960764"/>
    <w:rsid w:val="242B008E"/>
    <w:rsid w:val="267B64DB"/>
    <w:rsid w:val="267D31EB"/>
    <w:rsid w:val="295A5CFE"/>
    <w:rsid w:val="2AEB0093"/>
    <w:rsid w:val="2BAE2180"/>
    <w:rsid w:val="2D765A3C"/>
    <w:rsid w:val="2DA82900"/>
    <w:rsid w:val="2F6D7414"/>
    <w:rsid w:val="30890D76"/>
    <w:rsid w:val="31D87D0F"/>
    <w:rsid w:val="32B959E5"/>
    <w:rsid w:val="32C273E4"/>
    <w:rsid w:val="32CE539C"/>
    <w:rsid w:val="32EB7B9F"/>
    <w:rsid w:val="33953177"/>
    <w:rsid w:val="33AB6C6F"/>
    <w:rsid w:val="359C7387"/>
    <w:rsid w:val="3633773C"/>
    <w:rsid w:val="36F93273"/>
    <w:rsid w:val="375010F2"/>
    <w:rsid w:val="39677125"/>
    <w:rsid w:val="3A64441A"/>
    <w:rsid w:val="3AB05182"/>
    <w:rsid w:val="3FE5098D"/>
    <w:rsid w:val="404B246E"/>
    <w:rsid w:val="40D959AD"/>
    <w:rsid w:val="41F41C10"/>
    <w:rsid w:val="43D97F0C"/>
    <w:rsid w:val="46952AAC"/>
    <w:rsid w:val="4761248A"/>
    <w:rsid w:val="47995EF7"/>
    <w:rsid w:val="47D66523"/>
    <w:rsid w:val="4819626E"/>
    <w:rsid w:val="48DF2BAD"/>
    <w:rsid w:val="49C971B4"/>
    <w:rsid w:val="4C5D4B88"/>
    <w:rsid w:val="4C661A92"/>
    <w:rsid w:val="5091528E"/>
    <w:rsid w:val="51611568"/>
    <w:rsid w:val="517C32E6"/>
    <w:rsid w:val="525F1527"/>
    <w:rsid w:val="537B673D"/>
    <w:rsid w:val="53BB5349"/>
    <w:rsid w:val="53D218EE"/>
    <w:rsid w:val="5430447B"/>
    <w:rsid w:val="55540845"/>
    <w:rsid w:val="57930A40"/>
    <w:rsid w:val="57FA39B8"/>
    <w:rsid w:val="5C2759B4"/>
    <w:rsid w:val="5CB64863"/>
    <w:rsid w:val="5DDB47B8"/>
    <w:rsid w:val="5EB21E06"/>
    <w:rsid w:val="625F7978"/>
    <w:rsid w:val="627F53B2"/>
    <w:rsid w:val="6325429C"/>
    <w:rsid w:val="647D0F08"/>
    <w:rsid w:val="65850642"/>
    <w:rsid w:val="673B642D"/>
    <w:rsid w:val="67E04138"/>
    <w:rsid w:val="68B045BE"/>
    <w:rsid w:val="6A0D7DA2"/>
    <w:rsid w:val="6B903B79"/>
    <w:rsid w:val="6C105282"/>
    <w:rsid w:val="6CBD3076"/>
    <w:rsid w:val="6CD33EFF"/>
    <w:rsid w:val="707C386A"/>
    <w:rsid w:val="70CD6D93"/>
    <w:rsid w:val="713E221D"/>
    <w:rsid w:val="716D0E2B"/>
    <w:rsid w:val="71CA0696"/>
    <w:rsid w:val="743334E8"/>
    <w:rsid w:val="7467413A"/>
    <w:rsid w:val="758600F7"/>
    <w:rsid w:val="77992B23"/>
    <w:rsid w:val="790A225A"/>
    <w:rsid w:val="7BA41E07"/>
    <w:rsid w:val="7CF1064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semiHidden/>
    <w:qFormat/>
    <w:uiPriority w:val="0"/>
    <w:rPr>
      <w:b/>
      <w:bCs/>
    </w:rPr>
  </w:style>
  <w:style w:type="character" w:styleId="11">
    <w:name w:val="annotation reference"/>
    <w:semiHidden/>
    <w:qFormat/>
    <w:uiPriority w:val="0"/>
    <w:rPr>
      <w:sz w:val="21"/>
      <w:szCs w:val="21"/>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175</Words>
  <Characters>1000</Characters>
  <Lines>8</Lines>
  <Paragraphs>2</Paragraphs>
  <TotalTime>6</TotalTime>
  <ScaleCrop>false</ScaleCrop>
  <LinksUpToDate>false</LinksUpToDate>
  <CharactersWithSpaces>1173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cw</cp:lastModifiedBy>
  <cp:lastPrinted>2018-01-10T01:08:00Z</cp:lastPrinted>
  <dcterms:modified xsi:type="dcterms:W3CDTF">2021-02-01T01:23:27Z</dcterms:modified>
  <dc:title>年部门预算编制说明</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