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_GBK" w:eastAsia="方正小标宋_GBK"/>
          <w:sz w:val="28"/>
          <w:szCs w:val="28"/>
        </w:rPr>
      </w:pPr>
      <w:r>
        <w:rPr>
          <w:rFonts w:hint="eastAsia" w:ascii="方正小标宋_GBK" w:eastAsia="方正小标宋_GBK"/>
          <w:sz w:val="28"/>
          <w:szCs w:val="28"/>
        </w:rPr>
        <w:t>附件1：部门整体支出绩效评价报告</w:t>
      </w:r>
    </w:p>
    <w:p>
      <w:pPr>
        <w:spacing w:before="120" w:after="120" w:line="480" w:lineRule="auto"/>
        <w:jc w:val="center"/>
        <w:rPr>
          <w:rFonts w:ascii="Times New Roman" w:hAnsi="Times New Roman" w:eastAsia="黑体"/>
          <w:b/>
          <w:bCs/>
          <w:sz w:val="52"/>
          <w:szCs w:val="52"/>
        </w:rPr>
      </w:pPr>
    </w:p>
    <w:p>
      <w:pPr>
        <w:jc w:val="center"/>
        <w:rPr>
          <w:rFonts w:hint="eastAsia" w:ascii="黑体" w:hAnsi="黑体" w:eastAsia="黑体" w:cs="黑体"/>
          <w:bCs/>
          <w:sz w:val="52"/>
          <w:szCs w:val="52"/>
        </w:rPr>
      </w:pPr>
      <w:r>
        <w:rPr>
          <w:rFonts w:hint="eastAsia" w:ascii="黑体" w:hAnsi="黑体" w:eastAsia="黑体" w:cs="黑体"/>
          <w:bCs/>
          <w:sz w:val="52"/>
          <w:szCs w:val="52"/>
        </w:rPr>
        <w:t>迪庆州</w:t>
      </w:r>
      <w:r>
        <w:rPr>
          <w:rFonts w:hint="eastAsia" w:ascii="黑体" w:hAnsi="黑体" w:eastAsia="黑体" w:cs="黑体"/>
          <w:bCs/>
          <w:sz w:val="52"/>
          <w:szCs w:val="52"/>
          <w:lang w:val="en-US" w:eastAsia="zh-CN"/>
        </w:rPr>
        <w:t>藏族自治州种子管理站</w:t>
      </w:r>
      <w:r>
        <w:rPr>
          <w:rFonts w:ascii="黑体" w:hAnsi="黑体" w:eastAsia="黑体"/>
          <w:bCs/>
          <w:sz w:val="52"/>
          <w:szCs w:val="52"/>
        </w:rPr>
        <w:t>20</w:t>
      </w:r>
      <w:r>
        <w:rPr>
          <w:rFonts w:hint="eastAsia" w:ascii="黑体" w:hAnsi="黑体" w:eastAsia="黑体"/>
          <w:bCs/>
          <w:sz w:val="52"/>
          <w:szCs w:val="52"/>
        </w:rPr>
        <w:t>19年度</w:t>
      </w:r>
      <w:r>
        <w:rPr>
          <w:rFonts w:hint="eastAsia" w:ascii="黑体" w:hAnsi="黑体" w:eastAsia="黑体" w:cs="黑体"/>
          <w:bCs/>
          <w:sz w:val="52"/>
          <w:szCs w:val="52"/>
        </w:rPr>
        <w:t>部门整体支出绩效</w:t>
      </w:r>
    </w:p>
    <w:p>
      <w:pPr>
        <w:jc w:val="center"/>
        <w:rPr>
          <w:rFonts w:ascii="黑体" w:hAnsi="黑体" w:eastAsia="黑体"/>
          <w:bCs/>
          <w:sz w:val="52"/>
          <w:szCs w:val="52"/>
        </w:rPr>
      </w:pPr>
      <w:r>
        <w:rPr>
          <w:rFonts w:hint="eastAsia" w:ascii="黑体" w:hAnsi="黑体" w:eastAsia="黑体" w:cs="黑体"/>
          <w:bCs/>
          <w:sz w:val="52"/>
          <w:szCs w:val="52"/>
        </w:rPr>
        <w:t>自评报告</w:t>
      </w:r>
    </w:p>
    <w:p>
      <w:pPr>
        <w:spacing w:before="120" w:after="120" w:line="480" w:lineRule="auto"/>
        <w:jc w:val="center"/>
        <w:rPr>
          <w:rFonts w:ascii="Times New Roman" w:hAnsi="Times New Roman" w:eastAsia="黑体"/>
          <w:b/>
          <w:bCs/>
          <w:sz w:val="52"/>
          <w:szCs w:val="52"/>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eastAsia="黑体"/>
          <w:b/>
          <w:bCs/>
          <w:sz w:val="44"/>
          <w:szCs w:val="44"/>
        </w:rPr>
      </w:pPr>
    </w:p>
    <w:p>
      <w:pPr>
        <w:adjustRightInd w:val="0"/>
        <w:snapToGrid w:val="0"/>
        <w:spacing w:line="360" w:lineRule="auto"/>
        <w:ind w:left="1260" w:leftChars="600"/>
        <w:rPr>
          <w:rFonts w:ascii="Times New Roman" w:hAnsi="Times New Roman" w:eastAsia="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57216" behindDoc="0" locked="0" layoutInCell="1" allowOverlap="1">
                <wp:simplePos x="0" y="0"/>
                <wp:positionH relativeFrom="column">
                  <wp:posOffset>1695450</wp:posOffset>
                </wp:positionH>
                <wp:positionV relativeFrom="paragraph">
                  <wp:posOffset>211455</wp:posOffset>
                </wp:positionV>
                <wp:extent cx="3457575" cy="0"/>
                <wp:effectExtent l="9525" t="5715" r="9525" b="1333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6.65pt;height:0pt;width:272.25pt;z-index:251657216;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yeaXXAAAACQEAAA8AAAAAAAAA&#10;AQAgAAAAIgAAAGRycy9kb3ducmV2LnhtbFBLAQIUABQAAAAIAIdO4kDxzVfr2QEAAHADAAAOAAAA&#10;AAAAAAEAIAAAACYBAABkcnMvZTJvRG9jLnhtbFBLBQYAAAAABgAGAFkBAABx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项目名称：</w:t>
      </w:r>
      <w:r>
        <w:rPr>
          <w:rFonts w:hint="eastAsia" w:ascii="Times New Roman" w:hAnsi="Times New Roman" w:eastAsia="黑体" w:cs="黑体"/>
          <w:b/>
          <w:bCs/>
          <w:sz w:val="32"/>
          <w:szCs w:val="32"/>
          <w:lang w:val="en-US" w:eastAsia="zh-CN"/>
        </w:rPr>
        <w:t>迪庆州种子管理站</w:t>
      </w:r>
      <w:r>
        <w:rPr>
          <w:rFonts w:hint="eastAsia" w:ascii="Times New Roman" w:hAnsi="Times New Roman" w:eastAsia="黑体" w:cs="黑体"/>
          <w:b/>
          <w:bCs/>
          <w:sz w:val="32"/>
          <w:szCs w:val="32"/>
        </w:rPr>
        <w:t>整体支出</w:t>
      </w:r>
    </w:p>
    <w:p>
      <w:pPr>
        <w:adjustRightInd w:val="0"/>
        <w:snapToGrid w:val="0"/>
        <w:spacing w:line="360" w:lineRule="auto"/>
        <w:ind w:left="1260" w:leftChars="600"/>
        <w:rPr>
          <w:rFonts w:ascii="Times New Roman" w:hAnsi="Times New Roman" w:eastAsia="黑体" w:cs="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217805</wp:posOffset>
                </wp:positionV>
                <wp:extent cx="3457575" cy="0"/>
                <wp:effectExtent l="9525" t="5715" r="9525" b="1333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7.15pt;height:0pt;width:272.25pt;z-index:251658240;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Q9w2AAAAAkBAAAPAAAAAAAA&#10;AAEAIAAAACIAAABkcnMvZG93bnJldi54bWxQSwECFAAUAAAACACHTuJA3/Eks9kBAABwAwAADgAA&#10;AAAAAAABACAAAAAnAQAAZHJzL2Uyb0RvYy54bWxQSwUGAAAAAAYABgBZAQAAcgU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部门名称：</w:t>
      </w:r>
      <w:r>
        <w:rPr>
          <w:rFonts w:hint="eastAsia" w:ascii="Times New Roman" w:hAnsi="Times New Roman" w:eastAsia="黑体" w:cs="黑体"/>
          <w:b/>
          <w:bCs/>
          <w:sz w:val="32"/>
          <w:szCs w:val="32"/>
          <w:lang w:val="en-US" w:eastAsia="zh-CN"/>
        </w:rPr>
        <w:t>迪庆州种子管理站</w:t>
      </w:r>
    </w:p>
    <w:p>
      <w:pPr>
        <w:adjustRightInd w:val="0"/>
        <w:snapToGrid w:val="0"/>
        <w:spacing w:line="360" w:lineRule="auto"/>
        <w:ind w:left="1260" w:leftChars="600"/>
        <w:rPr>
          <w:rFonts w:ascii="Times New Roman" w:hAnsi="Times New Roman" w:eastAsia="黑体" w:cs="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253365</wp:posOffset>
                </wp:positionV>
                <wp:extent cx="3457575" cy="0"/>
                <wp:effectExtent l="9525" t="5715" r="9525" b="1333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3.5pt;margin-top:19.95pt;height:0pt;width:272.25pt;z-index:251658240;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BJ+CNcAAAAJAQAADwAAAAAAAAAB&#10;ACAAAAAiAAAAZHJzL2Rvd25yZXYueG1sUEsBAhQAFAAAAAgAh07iQK21sVvYAQAAcAMAAA4AAAAA&#10;AAAAAQAgAAAAJgEAAGRycy9lMm9Eb2MueG1sUEsFBgAAAAAGAAYAWQEAAHAFA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评价机构：</w:t>
      </w:r>
      <w:r>
        <w:rPr>
          <w:rFonts w:hint="eastAsia" w:ascii="Times New Roman" w:hAnsi="Times New Roman" w:eastAsia="黑体" w:cs="黑体"/>
          <w:b/>
          <w:bCs/>
          <w:sz w:val="32"/>
          <w:szCs w:val="32"/>
          <w:lang w:val="en-US" w:eastAsia="zh-CN"/>
        </w:rPr>
        <w:t>迪庆州种子管理站</w:t>
      </w:r>
    </w:p>
    <w:p>
      <w:pPr>
        <w:adjustRightInd w:val="0"/>
        <w:snapToGrid w:val="0"/>
        <w:spacing w:line="360" w:lineRule="auto"/>
        <w:ind w:left="1260" w:leftChars="600"/>
        <w:rPr>
          <w:rFonts w:ascii="Times New Roman" w:hAnsi="Times New Roman" w:eastAsia="黑体"/>
          <w:b/>
          <w:bCs/>
          <w:sz w:val="32"/>
          <w:szCs w:val="32"/>
        </w:rPr>
      </w:pPr>
    </w:p>
    <w:p>
      <w:pPr>
        <w:spacing w:line="360" w:lineRule="auto"/>
        <w:ind w:left="1218" w:leftChars="580"/>
        <w:rPr>
          <w:rFonts w:ascii="Times New Roman" w:hAnsi="Times New Roman" w:eastAsia="黑体"/>
          <w:b/>
          <w:bCs/>
          <w:sz w:val="32"/>
          <w:szCs w:val="32"/>
        </w:rPr>
      </w:pPr>
    </w:p>
    <w:p>
      <w:pPr>
        <w:jc w:val="center"/>
        <w:rPr>
          <w:rFonts w:ascii="Times New Roman" w:hAnsi="Times New Roman" w:eastAsia="黑体" w:cs="黑体"/>
          <w:b/>
          <w:bCs/>
          <w:sz w:val="32"/>
          <w:szCs w:val="32"/>
        </w:rPr>
      </w:pPr>
      <w:r>
        <w:rPr>
          <w:rFonts w:ascii="Times New Roman" w:hAnsi="Times New Roman" w:eastAsia="黑体"/>
          <w:b/>
          <w:bCs/>
          <w:sz w:val="32"/>
          <w:szCs w:val="32"/>
        </w:rPr>
        <w:t>20</w:t>
      </w:r>
      <w:r>
        <w:rPr>
          <w:rFonts w:hint="eastAsia" w:ascii="Times New Roman" w:hAnsi="Times New Roman" w:eastAsia="黑体"/>
          <w:b/>
          <w:bCs/>
          <w:sz w:val="32"/>
          <w:szCs w:val="32"/>
          <w:lang w:val="en-US" w:eastAsia="zh-CN"/>
        </w:rPr>
        <w:t>20</w:t>
      </w:r>
      <w:r>
        <w:rPr>
          <w:rFonts w:hint="eastAsia" w:ascii="Times New Roman" w:hAnsi="Times New Roman" w:eastAsia="黑体" w:cs="黑体"/>
          <w:b/>
          <w:bCs/>
          <w:sz w:val="32"/>
          <w:szCs w:val="32"/>
        </w:rPr>
        <w:t>年</w:t>
      </w:r>
      <w:r>
        <w:rPr>
          <w:rFonts w:hint="eastAsia" w:ascii="Times New Roman" w:hAnsi="Times New Roman" w:eastAsia="黑体"/>
          <w:b/>
          <w:bCs/>
          <w:sz w:val="32"/>
          <w:szCs w:val="32"/>
          <w:lang w:val="en-US" w:eastAsia="zh-CN"/>
        </w:rPr>
        <w:t>5</w:t>
      </w:r>
      <w:r>
        <w:rPr>
          <w:rFonts w:hint="eastAsia" w:ascii="Times New Roman" w:hAnsi="Times New Roman" w:eastAsia="黑体" w:cs="黑体"/>
          <w:b/>
          <w:bCs/>
          <w:sz w:val="32"/>
          <w:szCs w:val="32"/>
        </w:rPr>
        <w:t>月</w:t>
      </w:r>
    </w:p>
    <w:p>
      <w:pPr>
        <w:jc w:val="center"/>
        <w:rPr>
          <w:rFonts w:ascii="Times New Roman" w:hAnsi="Times New Roman" w:eastAsia="黑体" w:cs="黑体"/>
          <w:b/>
          <w:bCs/>
          <w:sz w:val="32"/>
          <w:szCs w:val="32"/>
        </w:rPr>
      </w:pPr>
    </w:p>
    <w:p>
      <w:pPr>
        <w:jc w:val="center"/>
        <w:rPr>
          <w:rFonts w:ascii="Times New Roman" w:hAnsi="Times New Roman" w:eastAsia="黑体" w:cs="黑体"/>
          <w:b/>
          <w:bCs/>
          <w:sz w:val="28"/>
          <w:szCs w:val="28"/>
        </w:rPr>
      </w:pPr>
    </w:p>
    <w:p>
      <w:pPr>
        <w:jc w:val="center"/>
        <w:rPr>
          <w:rFonts w:ascii="Times New Roman" w:hAnsi="Times New Roman" w:eastAsia="黑体" w:cs="黑体"/>
          <w:b/>
          <w:bCs/>
          <w:sz w:val="28"/>
          <w:szCs w:val="28"/>
        </w:rPr>
      </w:pPr>
    </w:p>
    <w:p>
      <w:pPr>
        <w:jc w:val="center"/>
        <w:rPr>
          <w:rFonts w:ascii="Times New Roman" w:hAnsi="Times New Roman" w:eastAsia="黑体" w:cs="黑体"/>
          <w:b/>
          <w:bCs/>
          <w:sz w:val="32"/>
          <w:szCs w:val="32"/>
        </w:rPr>
      </w:pPr>
    </w:p>
    <w:p>
      <w:pPr>
        <w:jc w:val="center"/>
        <w:rPr>
          <w:rFonts w:ascii="Times New Roman" w:hAnsi="Times New Roman" w:eastAsia="仿宋_GB2312"/>
          <w:b/>
          <w:bCs/>
          <w:sz w:val="32"/>
          <w:szCs w:val="32"/>
        </w:rPr>
      </w:pPr>
    </w:p>
    <w:p>
      <w:pPr>
        <w:widowControl/>
        <w:jc w:val="left"/>
        <w:rPr>
          <w:rFonts w:ascii="Times New Roman" w:hAnsi="Times New Roman" w:eastAsia="仿宋_GB2312"/>
          <w:b/>
          <w:bCs/>
          <w:sz w:val="32"/>
          <w:szCs w:val="32"/>
        </w:rPr>
        <w:sectPr>
          <w:footerReference r:id="rId3" w:type="default"/>
          <w:pgSz w:w="11906" w:h="16838"/>
          <w:pgMar w:top="1440" w:right="1800" w:bottom="1440" w:left="1800" w:header="851" w:footer="992" w:gutter="0"/>
          <w:cols w:space="425" w:num="1"/>
          <w:titlePg/>
          <w:docGrid w:type="lines" w:linePitch="312" w:charSpace="0"/>
        </w:sectPr>
      </w:pPr>
    </w:p>
    <w:p>
      <w:pPr>
        <w:pStyle w:val="9"/>
        <w:widowControl w:val="0"/>
        <w:spacing w:after="0" w:line="360" w:lineRule="auto"/>
        <w:ind w:left="420" w:leftChars="200"/>
        <w:jc w:val="both"/>
        <w:rPr>
          <w:rFonts w:ascii="Times New Roman" w:hAnsi="Times New Roman" w:eastAsia="黑体" w:cs="Times New Roman"/>
          <w:kern w:val="2"/>
          <w:sz w:val="32"/>
          <w:szCs w:val="32"/>
          <w:lang w:val="zh-TW" w:eastAsia="zh-TW"/>
        </w:rPr>
      </w:pPr>
      <w:r>
        <w:rPr>
          <w:rFonts w:hint="eastAsia" w:ascii="Times New Roman" w:hAnsi="Times New Roman" w:eastAsia="黑体" w:cs="黑体"/>
          <w:kern w:val="2"/>
          <w:sz w:val="32"/>
          <w:szCs w:val="32"/>
          <w:lang w:val="zh-TW" w:eastAsia="zh-TW"/>
        </w:rPr>
        <w:t>评价小组成员：</w:t>
      </w:r>
    </w:p>
    <w:tbl>
      <w:tblPr>
        <w:tblStyle w:val="5"/>
        <w:tblpPr w:leftFromText="180" w:rightFromText="180" w:vertAnchor="text" w:horzAnchor="margin" w:tblpX="-430" w:tblpY="72"/>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200"/>
        <w:gridCol w:w="3417"/>
        <w:gridCol w:w="1642"/>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评价小组</w:t>
            </w:r>
          </w:p>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机构职位</w:t>
            </w:r>
          </w:p>
        </w:tc>
        <w:tc>
          <w:tcPr>
            <w:tcW w:w="1200"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姓名</w:t>
            </w:r>
          </w:p>
        </w:tc>
        <w:tc>
          <w:tcPr>
            <w:tcW w:w="3417"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职务/职称</w:t>
            </w:r>
          </w:p>
        </w:tc>
        <w:tc>
          <w:tcPr>
            <w:tcW w:w="1642"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所属</w:t>
            </w:r>
          </w:p>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单位/处室</w:t>
            </w:r>
          </w:p>
        </w:tc>
        <w:tc>
          <w:tcPr>
            <w:tcW w:w="1725"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24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组长</w:t>
            </w:r>
          </w:p>
        </w:tc>
        <w:tc>
          <w:tcPr>
            <w:tcW w:w="1200" w:type="dxa"/>
          </w:tcPr>
          <w:p>
            <w:pPr>
              <w:pStyle w:val="9"/>
              <w:widowControl w:val="0"/>
              <w:spacing w:after="0" w:line="240" w:lineRule="auto"/>
              <w:jc w:val="left"/>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提布</w:t>
            </w:r>
          </w:p>
        </w:tc>
        <w:tc>
          <w:tcPr>
            <w:tcW w:w="3417" w:type="dxa"/>
          </w:tcPr>
          <w:p>
            <w:pPr>
              <w:pStyle w:val="9"/>
              <w:widowControl w:val="0"/>
              <w:spacing w:after="0" w:line="240" w:lineRule="auto"/>
              <w:jc w:val="both"/>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迪庆州种子管理站站长</w:t>
            </w:r>
          </w:p>
        </w:tc>
        <w:tc>
          <w:tcPr>
            <w:tcW w:w="1642" w:type="dxa"/>
          </w:tcPr>
          <w:p>
            <w:pPr>
              <w:pStyle w:val="9"/>
              <w:widowControl w:val="0"/>
              <w:spacing w:after="0" w:line="240" w:lineRule="auto"/>
              <w:jc w:val="both"/>
              <w:rPr>
                <w:rFonts w:ascii="Times New Roman" w:hAnsi="Times New Roman" w:eastAsia="黑体" w:cs="黑体"/>
                <w:kern w:val="2"/>
                <w:sz w:val="32"/>
                <w:szCs w:val="32"/>
                <w:lang w:val="zh-TW" w:eastAsia="zh-TW"/>
              </w:rPr>
            </w:pPr>
          </w:p>
        </w:tc>
        <w:tc>
          <w:tcPr>
            <w:tcW w:w="1725" w:type="dxa"/>
          </w:tcPr>
          <w:p>
            <w:pPr>
              <w:pStyle w:val="9"/>
              <w:widowControl w:val="0"/>
              <w:spacing w:after="0" w:line="240" w:lineRule="auto"/>
              <w:jc w:val="both"/>
              <w:rPr>
                <w:rFonts w:ascii="Times New Roman" w:hAnsi="Times New Roman" w:eastAsia="黑体" w:cs="黑体"/>
                <w:kern w:val="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36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副组长</w:t>
            </w:r>
          </w:p>
        </w:tc>
        <w:tc>
          <w:tcPr>
            <w:tcW w:w="1200" w:type="dxa"/>
          </w:tcPr>
          <w:p>
            <w:pPr>
              <w:pStyle w:val="9"/>
              <w:widowControl w:val="0"/>
              <w:spacing w:after="0" w:line="360" w:lineRule="auto"/>
              <w:jc w:val="left"/>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和继泉</w:t>
            </w:r>
          </w:p>
        </w:tc>
        <w:tc>
          <w:tcPr>
            <w:tcW w:w="3417" w:type="dxa"/>
          </w:tcPr>
          <w:p>
            <w:pPr>
              <w:pStyle w:val="9"/>
              <w:widowControl w:val="0"/>
              <w:spacing w:after="0" w:line="360" w:lineRule="auto"/>
              <w:jc w:val="both"/>
              <w:rPr>
                <w:rFonts w:ascii="Times New Roman" w:hAnsi="Times New Roman" w:eastAsia="黑体" w:cs="黑体"/>
                <w:kern w:val="2"/>
                <w:sz w:val="32"/>
                <w:szCs w:val="32"/>
                <w:lang w:val="zh-TW" w:eastAsia="zh-TW"/>
              </w:rPr>
            </w:pPr>
            <w:r>
              <w:rPr>
                <w:rFonts w:hint="eastAsia" w:ascii="Times New Roman" w:hAnsi="Times New Roman" w:eastAsia="黑体" w:cs="黑体"/>
                <w:kern w:val="2"/>
                <w:sz w:val="32"/>
                <w:szCs w:val="32"/>
                <w:lang w:val="zh-TW" w:eastAsia="zh-CN"/>
              </w:rPr>
              <w:t>迪庆州种子管理站副站长</w:t>
            </w:r>
          </w:p>
        </w:tc>
        <w:tc>
          <w:tcPr>
            <w:tcW w:w="1642" w:type="dxa"/>
          </w:tcPr>
          <w:p>
            <w:pPr>
              <w:pStyle w:val="9"/>
              <w:widowControl w:val="0"/>
              <w:spacing w:after="0" w:line="360" w:lineRule="auto"/>
              <w:jc w:val="both"/>
              <w:rPr>
                <w:rFonts w:ascii="Times New Roman" w:hAnsi="Times New Roman" w:eastAsia="黑体" w:cs="黑体"/>
                <w:kern w:val="2"/>
                <w:sz w:val="32"/>
                <w:szCs w:val="32"/>
                <w:lang w:val="zh-TW" w:eastAsia="zh-TW"/>
              </w:rPr>
            </w:pPr>
          </w:p>
        </w:tc>
        <w:tc>
          <w:tcPr>
            <w:tcW w:w="1725" w:type="dxa"/>
          </w:tcPr>
          <w:p>
            <w:pPr>
              <w:pStyle w:val="9"/>
              <w:widowControl w:val="0"/>
              <w:spacing w:after="0" w:line="360" w:lineRule="auto"/>
              <w:jc w:val="both"/>
              <w:rPr>
                <w:rFonts w:ascii="Times New Roman" w:hAnsi="Times New Roman" w:eastAsia="黑体" w:cs="黑体"/>
                <w:kern w:val="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360" w:lineRule="auto"/>
              <w:jc w:val="center"/>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成员</w:t>
            </w:r>
          </w:p>
        </w:tc>
        <w:tc>
          <w:tcPr>
            <w:tcW w:w="1200" w:type="dxa"/>
            <w:vAlign w:val="center"/>
          </w:tcPr>
          <w:p>
            <w:pPr>
              <w:pStyle w:val="9"/>
              <w:widowControl w:val="0"/>
              <w:spacing w:after="0" w:line="360" w:lineRule="auto"/>
              <w:jc w:val="left"/>
              <w:rPr>
                <w:rFonts w:ascii="Times New Roman" w:hAnsi="Times New Roman" w:eastAsia="黑体" w:cs="黑体"/>
                <w:kern w:val="2"/>
                <w:sz w:val="32"/>
                <w:szCs w:val="32"/>
                <w:lang w:val="zh-TW" w:eastAsia="zh-TW"/>
              </w:rPr>
            </w:pPr>
            <w:r>
              <w:rPr>
                <w:rFonts w:hint="eastAsia" w:ascii="Times New Roman" w:hAnsi="Times New Roman" w:eastAsia="黑体" w:cs="黑体"/>
                <w:kern w:val="2"/>
                <w:sz w:val="32"/>
                <w:szCs w:val="32"/>
                <w:lang w:val="zh-TW" w:eastAsia="zh-CN"/>
              </w:rPr>
              <w:t>刘成君</w:t>
            </w:r>
          </w:p>
        </w:tc>
        <w:tc>
          <w:tcPr>
            <w:tcW w:w="3417" w:type="dxa"/>
          </w:tcPr>
          <w:p>
            <w:pPr>
              <w:pStyle w:val="9"/>
              <w:widowControl w:val="0"/>
              <w:spacing w:after="0" w:line="360" w:lineRule="auto"/>
              <w:jc w:val="both"/>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高级农艺师</w:t>
            </w:r>
          </w:p>
        </w:tc>
        <w:tc>
          <w:tcPr>
            <w:tcW w:w="1642" w:type="dxa"/>
          </w:tcPr>
          <w:p>
            <w:pPr>
              <w:pStyle w:val="9"/>
              <w:widowControl w:val="0"/>
              <w:spacing w:after="0" w:line="360" w:lineRule="auto"/>
              <w:jc w:val="both"/>
              <w:rPr>
                <w:rFonts w:ascii="Times New Roman" w:hAnsi="Times New Roman" w:eastAsia="黑体" w:cs="黑体"/>
                <w:kern w:val="2"/>
                <w:sz w:val="32"/>
                <w:szCs w:val="32"/>
                <w:lang w:val="zh-TW" w:eastAsia="zh-TW"/>
              </w:rPr>
            </w:pPr>
          </w:p>
        </w:tc>
        <w:tc>
          <w:tcPr>
            <w:tcW w:w="1725" w:type="dxa"/>
          </w:tcPr>
          <w:p>
            <w:pPr>
              <w:pStyle w:val="9"/>
              <w:widowControl w:val="0"/>
              <w:spacing w:after="0" w:line="360" w:lineRule="auto"/>
              <w:jc w:val="both"/>
              <w:rPr>
                <w:rFonts w:ascii="Times New Roman" w:hAnsi="Times New Roman" w:eastAsia="黑体" w:cs="黑体"/>
                <w:kern w:val="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360" w:lineRule="auto"/>
              <w:jc w:val="center"/>
              <w:rPr>
                <w:rFonts w:ascii="Times New Roman" w:hAnsi="Times New Roman" w:eastAsia="黑体" w:cs="黑体"/>
                <w:kern w:val="2"/>
                <w:sz w:val="32"/>
                <w:szCs w:val="32"/>
                <w:lang w:val="zh-TW"/>
              </w:rPr>
            </w:pPr>
            <w:r>
              <w:rPr>
                <w:rFonts w:ascii="Times New Roman" w:hAnsi="Times New Roman" w:eastAsia="黑体" w:cs="黑体"/>
                <w:kern w:val="2"/>
                <w:sz w:val="32"/>
                <w:szCs w:val="32"/>
                <w:lang w:val="zh-TW"/>
              </w:rPr>
              <w:t>……</w:t>
            </w:r>
          </w:p>
        </w:tc>
        <w:tc>
          <w:tcPr>
            <w:tcW w:w="1200" w:type="dxa"/>
            <w:vAlign w:val="center"/>
          </w:tcPr>
          <w:p>
            <w:pPr>
              <w:pStyle w:val="9"/>
              <w:widowControl w:val="0"/>
              <w:spacing w:after="0" w:line="360" w:lineRule="auto"/>
              <w:jc w:val="left"/>
              <w:rPr>
                <w:rFonts w:ascii="Times New Roman" w:hAnsi="Times New Roman" w:eastAsia="黑体" w:cs="黑体"/>
                <w:kern w:val="2"/>
                <w:sz w:val="32"/>
                <w:szCs w:val="32"/>
                <w:lang w:val="zh-TW" w:eastAsia="zh-TW"/>
              </w:rPr>
            </w:pPr>
            <w:r>
              <w:rPr>
                <w:rFonts w:hint="eastAsia" w:ascii="Times New Roman" w:hAnsi="Times New Roman" w:eastAsia="黑体" w:cs="黑体"/>
                <w:kern w:val="2"/>
                <w:sz w:val="32"/>
                <w:szCs w:val="32"/>
                <w:lang w:val="zh-TW" w:eastAsia="zh-CN"/>
              </w:rPr>
              <w:t>张荣华</w:t>
            </w:r>
          </w:p>
        </w:tc>
        <w:tc>
          <w:tcPr>
            <w:tcW w:w="3417" w:type="dxa"/>
          </w:tcPr>
          <w:p>
            <w:pPr>
              <w:pStyle w:val="9"/>
              <w:widowControl w:val="0"/>
              <w:spacing w:after="0" w:line="360" w:lineRule="auto"/>
              <w:jc w:val="both"/>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农艺师</w:t>
            </w:r>
          </w:p>
        </w:tc>
        <w:tc>
          <w:tcPr>
            <w:tcW w:w="1642" w:type="dxa"/>
          </w:tcPr>
          <w:p>
            <w:pPr>
              <w:pStyle w:val="9"/>
              <w:widowControl w:val="0"/>
              <w:spacing w:after="0" w:line="360" w:lineRule="auto"/>
              <w:jc w:val="both"/>
              <w:rPr>
                <w:rFonts w:ascii="Times New Roman" w:hAnsi="Times New Roman" w:eastAsia="黑体" w:cs="黑体"/>
                <w:kern w:val="2"/>
                <w:sz w:val="32"/>
                <w:szCs w:val="32"/>
                <w:lang w:val="zh-TW" w:eastAsia="zh-TW"/>
              </w:rPr>
            </w:pPr>
          </w:p>
        </w:tc>
        <w:tc>
          <w:tcPr>
            <w:tcW w:w="1725" w:type="dxa"/>
          </w:tcPr>
          <w:p>
            <w:pPr>
              <w:pStyle w:val="9"/>
              <w:widowControl w:val="0"/>
              <w:spacing w:after="0" w:line="360" w:lineRule="auto"/>
              <w:jc w:val="both"/>
              <w:rPr>
                <w:rFonts w:ascii="Times New Roman" w:hAnsi="Times New Roman" w:eastAsia="黑体" w:cs="黑体"/>
                <w:kern w:val="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pStyle w:val="9"/>
              <w:widowControl w:val="0"/>
              <w:spacing w:after="0" w:line="360" w:lineRule="auto"/>
              <w:jc w:val="center"/>
              <w:rPr>
                <w:rFonts w:ascii="Times New Roman" w:hAnsi="Times New Roman" w:eastAsia="黑体" w:cs="黑体"/>
                <w:kern w:val="2"/>
                <w:sz w:val="32"/>
                <w:szCs w:val="32"/>
                <w:lang w:val="zh-TW"/>
              </w:rPr>
            </w:pPr>
          </w:p>
        </w:tc>
        <w:tc>
          <w:tcPr>
            <w:tcW w:w="1200" w:type="dxa"/>
            <w:vAlign w:val="center"/>
          </w:tcPr>
          <w:p>
            <w:pPr>
              <w:pStyle w:val="9"/>
              <w:widowControl w:val="0"/>
              <w:spacing w:after="0" w:line="360" w:lineRule="auto"/>
              <w:jc w:val="left"/>
              <w:rPr>
                <w:rFonts w:ascii="Times New Roman" w:hAnsi="Times New Roman" w:eastAsia="黑体" w:cs="黑体"/>
                <w:kern w:val="2"/>
                <w:sz w:val="32"/>
                <w:szCs w:val="32"/>
                <w:lang w:val="zh-TW" w:eastAsia="zh-TW"/>
              </w:rPr>
            </w:pPr>
            <w:r>
              <w:rPr>
                <w:rFonts w:hint="eastAsia" w:ascii="Times New Roman" w:hAnsi="Times New Roman" w:eastAsia="黑体" w:cs="黑体"/>
                <w:kern w:val="2"/>
                <w:sz w:val="32"/>
                <w:szCs w:val="32"/>
                <w:lang w:val="zh-TW" w:eastAsia="zh-CN"/>
              </w:rPr>
              <w:t>和卫恩</w:t>
            </w:r>
          </w:p>
        </w:tc>
        <w:tc>
          <w:tcPr>
            <w:tcW w:w="3417" w:type="dxa"/>
          </w:tcPr>
          <w:p>
            <w:pPr>
              <w:pStyle w:val="9"/>
              <w:widowControl w:val="0"/>
              <w:spacing w:after="0" w:line="360" w:lineRule="auto"/>
              <w:jc w:val="both"/>
              <w:rPr>
                <w:rFonts w:hint="eastAsia" w:ascii="Times New Roman" w:hAnsi="Times New Roman" w:eastAsia="黑体" w:cs="黑体"/>
                <w:kern w:val="2"/>
                <w:sz w:val="32"/>
                <w:szCs w:val="32"/>
                <w:lang w:val="zh-TW" w:eastAsia="zh-CN"/>
              </w:rPr>
            </w:pPr>
            <w:r>
              <w:rPr>
                <w:rFonts w:hint="eastAsia" w:ascii="Times New Roman" w:hAnsi="Times New Roman" w:eastAsia="黑体" w:cs="黑体"/>
                <w:kern w:val="2"/>
                <w:sz w:val="32"/>
                <w:szCs w:val="32"/>
                <w:lang w:val="zh-TW" w:eastAsia="zh-CN"/>
              </w:rPr>
              <w:t>高级农艺师</w:t>
            </w:r>
          </w:p>
        </w:tc>
        <w:tc>
          <w:tcPr>
            <w:tcW w:w="1642" w:type="dxa"/>
          </w:tcPr>
          <w:p>
            <w:pPr>
              <w:pStyle w:val="9"/>
              <w:widowControl w:val="0"/>
              <w:spacing w:after="0" w:line="360" w:lineRule="auto"/>
              <w:jc w:val="both"/>
              <w:rPr>
                <w:rFonts w:ascii="Times New Roman" w:hAnsi="Times New Roman" w:eastAsia="黑体" w:cs="黑体"/>
                <w:kern w:val="2"/>
                <w:sz w:val="32"/>
                <w:szCs w:val="32"/>
                <w:lang w:val="zh-TW" w:eastAsia="zh-TW"/>
              </w:rPr>
            </w:pPr>
          </w:p>
        </w:tc>
        <w:tc>
          <w:tcPr>
            <w:tcW w:w="1725" w:type="dxa"/>
          </w:tcPr>
          <w:p>
            <w:pPr>
              <w:pStyle w:val="9"/>
              <w:widowControl w:val="0"/>
              <w:spacing w:after="0" w:line="360" w:lineRule="auto"/>
              <w:jc w:val="both"/>
              <w:rPr>
                <w:rFonts w:ascii="Times New Roman" w:hAnsi="Times New Roman" w:eastAsia="黑体" w:cs="黑体"/>
                <w:kern w:val="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trPr>
        <w:tc>
          <w:tcPr>
            <w:tcW w:w="9534" w:type="dxa"/>
            <w:gridSpan w:val="5"/>
          </w:tcPr>
          <w:p>
            <w:pPr>
              <w:pStyle w:val="9"/>
              <w:widowControl w:val="0"/>
              <w:spacing w:after="0" w:line="360" w:lineRule="auto"/>
              <w:jc w:val="both"/>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报告撰写人（签字）：</w:t>
            </w:r>
          </w:p>
          <w:p>
            <w:pPr>
              <w:pStyle w:val="9"/>
              <w:widowControl w:val="0"/>
              <w:spacing w:after="0" w:line="360" w:lineRule="auto"/>
              <w:jc w:val="both"/>
              <w:rPr>
                <w:rFonts w:ascii="Times New Roman" w:hAnsi="Times New Roman" w:eastAsia="黑体" w:cs="黑体"/>
                <w:kern w:val="2"/>
                <w:sz w:val="32"/>
                <w:szCs w:val="32"/>
                <w:lang w:val="zh-TW"/>
              </w:rPr>
            </w:pPr>
          </w:p>
          <w:p>
            <w:pPr>
              <w:pStyle w:val="9"/>
              <w:widowControl w:val="0"/>
              <w:spacing w:after="0" w:line="360" w:lineRule="auto"/>
              <w:jc w:val="both"/>
              <w:rPr>
                <w:rFonts w:ascii="Times New Roman" w:hAnsi="Times New Roman" w:eastAsia="黑体" w:cs="黑体"/>
                <w:kern w:val="2"/>
                <w:sz w:val="32"/>
                <w:szCs w:val="32"/>
                <w:lang w:val="zh-TW"/>
              </w:rPr>
            </w:pPr>
          </w:p>
          <w:p>
            <w:pPr>
              <w:pStyle w:val="9"/>
              <w:widowControl w:val="0"/>
              <w:wordWrap w:val="0"/>
              <w:spacing w:after="0" w:line="360" w:lineRule="auto"/>
              <w:jc w:val="right"/>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1" w:hRule="atLeast"/>
        </w:trPr>
        <w:tc>
          <w:tcPr>
            <w:tcW w:w="9534" w:type="dxa"/>
            <w:gridSpan w:val="5"/>
          </w:tcPr>
          <w:p>
            <w:pPr>
              <w:pStyle w:val="9"/>
              <w:widowControl w:val="0"/>
              <w:spacing w:after="0" w:line="360" w:lineRule="auto"/>
              <w:jc w:val="both"/>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评价工作负责人（签字）：</w:t>
            </w:r>
          </w:p>
          <w:p>
            <w:pPr>
              <w:pStyle w:val="9"/>
              <w:widowControl w:val="0"/>
              <w:spacing w:after="0" w:line="360" w:lineRule="auto"/>
              <w:jc w:val="both"/>
              <w:rPr>
                <w:rFonts w:ascii="Times New Roman" w:hAnsi="Times New Roman" w:eastAsia="黑体" w:cs="黑体"/>
                <w:kern w:val="2"/>
                <w:sz w:val="32"/>
                <w:szCs w:val="32"/>
                <w:lang w:val="zh-TW"/>
              </w:rPr>
            </w:pPr>
          </w:p>
          <w:p>
            <w:pPr>
              <w:pStyle w:val="9"/>
              <w:widowControl w:val="0"/>
              <w:spacing w:after="0" w:line="360" w:lineRule="auto"/>
              <w:jc w:val="both"/>
              <w:rPr>
                <w:rFonts w:ascii="Times New Roman" w:hAnsi="Times New Roman" w:eastAsia="黑体" w:cs="黑体"/>
                <w:kern w:val="2"/>
                <w:sz w:val="32"/>
                <w:szCs w:val="32"/>
                <w:lang w:val="zh-TW"/>
              </w:rPr>
            </w:pPr>
          </w:p>
          <w:p>
            <w:pPr>
              <w:pStyle w:val="9"/>
              <w:widowControl w:val="0"/>
              <w:wordWrap w:val="0"/>
              <w:spacing w:after="0" w:line="360" w:lineRule="auto"/>
              <w:jc w:val="right"/>
              <w:rPr>
                <w:rFonts w:ascii="Times New Roman" w:hAnsi="Times New Roman" w:eastAsia="黑体" w:cs="黑体"/>
                <w:kern w:val="2"/>
                <w:sz w:val="32"/>
                <w:szCs w:val="32"/>
                <w:lang w:val="zh-TW"/>
              </w:rPr>
            </w:pPr>
            <w:r>
              <w:rPr>
                <w:rFonts w:hint="eastAsia" w:ascii="Times New Roman" w:hAnsi="Times New Roman" w:eastAsia="黑体" w:cs="黑体"/>
                <w:kern w:val="2"/>
                <w:sz w:val="32"/>
                <w:szCs w:val="32"/>
                <w:lang w:val="zh-TW"/>
              </w:rPr>
              <w:t>年  月  日</w:t>
            </w:r>
          </w:p>
        </w:tc>
      </w:tr>
    </w:tbl>
    <w:p>
      <w:pPr>
        <w:pStyle w:val="9"/>
        <w:widowControl w:val="0"/>
        <w:spacing w:after="0" w:line="360" w:lineRule="auto"/>
        <w:ind w:firstLine="755" w:firstLineChars="236"/>
        <w:jc w:val="both"/>
        <w:rPr>
          <w:rFonts w:ascii="Times New Roman" w:hAnsi="Times New Roman" w:eastAsia="PMingLiU" w:cs="Times New Roman"/>
          <w:kern w:val="2"/>
          <w:sz w:val="32"/>
          <w:szCs w:val="32"/>
          <w:lang w:val="zh-TW" w:eastAsia="zh-TW"/>
        </w:rPr>
      </w:pPr>
    </w:p>
    <w:p>
      <w:pPr>
        <w:pStyle w:val="9"/>
        <w:widowControl w:val="0"/>
        <w:spacing w:after="0" w:line="360" w:lineRule="auto"/>
        <w:jc w:val="both"/>
        <w:rPr>
          <w:rFonts w:ascii="Times New Roman" w:hAnsi="Times New Roman" w:cs="Times New Roman"/>
          <w:kern w:val="2"/>
          <w:sz w:val="32"/>
          <w:szCs w:val="32"/>
          <w:lang w:val="zh-TW"/>
        </w:rPr>
        <w:sectPr>
          <w:pgSz w:w="11906" w:h="16838"/>
          <w:pgMar w:top="1440" w:right="1800" w:bottom="1440" w:left="1800" w:header="851" w:footer="992" w:gutter="0"/>
          <w:cols w:space="425" w:num="1"/>
          <w:docGrid w:type="lines" w:linePitch="312" w:charSpace="0"/>
        </w:sectPr>
      </w:pPr>
    </w:p>
    <w:p>
      <w:pPr>
        <w:pStyle w:val="8"/>
        <w:jc w:val="center"/>
        <w:rPr>
          <w:rFonts w:ascii="方正小标宋_GBK" w:hAnsi="Times New Roman" w:eastAsia="方正小标宋_GBK" w:cs="Times New Roman"/>
          <w:b w:val="0"/>
          <w:color w:val="auto"/>
          <w:sz w:val="32"/>
          <w:szCs w:val="32"/>
        </w:rPr>
      </w:pPr>
      <w:r>
        <w:rPr>
          <w:rFonts w:hint="eastAsia" w:ascii="方正小标宋_GBK" w:hAnsi="Times New Roman" w:eastAsia="方正小标宋_GBK" w:cs="宋体"/>
          <w:b w:val="0"/>
          <w:color w:val="auto"/>
          <w:sz w:val="32"/>
          <w:szCs w:val="32"/>
          <w:lang w:val="zh-CN"/>
        </w:rPr>
        <w:t>目录</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一、摘要</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二、部门概况</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（一）部门机构设置、编制</w:t>
      </w:r>
      <w:r>
        <w:rPr>
          <w:rFonts w:hint="eastAsia" w:ascii="黑体" w:hAnsi="黑体" w:eastAsia="黑体"/>
          <w:sz w:val="32"/>
          <w:szCs w:val="32"/>
        </w:rPr>
        <w:tab/>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（二）部门职能</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（三）部门工作完成情况</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 xml:space="preserve">（四）部门管理制度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（五）部门资金来源及使用情况</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 xml:space="preserve">（六）政府采购情况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（七）固定资产情况</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三、绩效目标</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四、评价思路和过程</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（一）评价思路</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（二）评价目的</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（三）评价依据</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（四）评价对象及评价时段</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五、评价结论和绩效分析</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（一）评价结论</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（二）具体绩效分析</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六、主要经验做法</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七、存在的问题</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r>
        <w:rPr>
          <w:rFonts w:hint="eastAsia" w:ascii="黑体" w:hAnsi="黑体" w:eastAsia="黑体"/>
          <w:sz w:val="32"/>
          <w:szCs w:val="32"/>
        </w:rPr>
        <w:t>八、改进措施及建议</w:t>
      </w:r>
      <w:r>
        <w:rPr>
          <w:rFonts w:hint="eastAsia" w:ascii="黑体" w:hAnsi="黑体" w:eastAsia="黑体"/>
          <w:sz w:val="32"/>
          <w:szCs w:val="32"/>
        </w:rPr>
        <w:tab/>
      </w:r>
      <w:r>
        <w:rPr>
          <w:rFonts w:hint="eastAsia" w:ascii="黑体" w:hAnsi="黑体" w:eastAsia="黑体"/>
          <w:sz w:val="32"/>
          <w:szCs w:val="32"/>
        </w:rPr>
        <w:t xml:space="preserve"> </w:t>
      </w:r>
    </w:p>
    <w:p>
      <w:pPr>
        <w:spacing w:line="400" w:lineRule="exact"/>
        <w:ind w:firstLine="640" w:firstLineChars="200"/>
        <w:jc w:val="left"/>
        <w:rPr>
          <w:rFonts w:ascii="黑体" w:hAnsi="黑体" w:eastAsia="黑体"/>
          <w:sz w:val="32"/>
          <w:szCs w:val="32"/>
        </w:rPr>
      </w:pPr>
    </w:p>
    <w:p>
      <w:pPr>
        <w:spacing w:line="600" w:lineRule="exact"/>
        <w:ind w:firstLine="640" w:firstLineChars="200"/>
        <w:jc w:val="left"/>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spacing w:line="600" w:lineRule="exact"/>
        <w:ind w:firstLine="640" w:firstLineChars="200"/>
        <w:jc w:val="center"/>
        <w:rPr>
          <w:rFonts w:ascii="方正小标宋_GBK" w:hAnsi="黑体" w:eastAsia="方正小标宋_GBK"/>
          <w:sz w:val="32"/>
          <w:szCs w:val="32"/>
        </w:rPr>
      </w:pPr>
    </w:p>
    <w:p>
      <w:pPr>
        <w:spacing w:line="520" w:lineRule="exact"/>
        <w:ind w:firstLine="1040" w:firstLineChars="200"/>
        <w:jc w:val="center"/>
        <w:rPr>
          <w:rFonts w:hint="eastAsia" w:ascii="方正小标宋_GBK" w:eastAsia="方正小标宋_GBK"/>
          <w:sz w:val="52"/>
          <w:szCs w:val="52"/>
        </w:rPr>
      </w:pPr>
    </w:p>
    <w:p>
      <w:pPr>
        <w:spacing w:line="520" w:lineRule="exact"/>
        <w:ind w:firstLine="1040" w:firstLineChars="200"/>
        <w:jc w:val="center"/>
        <w:rPr>
          <w:rFonts w:ascii="楷体" w:hAnsi="楷体" w:eastAsia="楷体"/>
          <w:sz w:val="52"/>
          <w:szCs w:val="52"/>
        </w:rPr>
      </w:pPr>
      <w:r>
        <w:rPr>
          <w:rFonts w:hint="eastAsia" w:ascii="方正小标宋_GBK" w:eastAsia="方正小标宋_GBK"/>
          <w:sz w:val="52"/>
          <w:szCs w:val="52"/>
        </w:rPr>
        <w:t>迪庆州</w:t>
      </w:r>
      <w:r>
        <w:rPr>
          <w:rFonts w:hint="eastAsia" w:ascii="方正小标宋_GBK" w:eastAsia="方正小标宋_GBK"/>
          <w:sz w:val="52"/>
          <w:szCs w:val="52"/>
          <w:lang w:val="en-US" w:eastAsia="zh-CN"/>
        </w:rPr>
        <w:t>种子管理站</w:t>
      </w:r>
      <w:r>
        <w:rPr>
          <w:rFonts w:hint="eastAsia" w:ascii="方正小标宋_GBK" w:eastAsia="方正小标宋_GBK"/>
          <w:sz w:val="52"/>
          <w:szCs w:val="52"/>
        </w:rPr>
        <w:t>2019年度部门整体支出绩效自评报告</w:t>
      </w:r>
    </w:p>
    <w:p>
      <w:pPr>
        <w:spacing w:line="520" w:lineRule="exact"/>
        <w:ind w:firstLine="640" w:firstLineChars="200"/>
        <w:jc w:val="center"/>
        <w:rPr>
          <w:rFonts w:ascii="仿宋_GB2312" w:eastAsia="仿宋_GB2312"/>
          <w:sz w:val="32"/>
          <w:szCs w:val="32"/>
        </w:rPr>
      </w:pPr>
    </w:p>
    <w:p>
      <w:pPr>
        <w:spacing w:line="520" w:lineRule="exact"/>
        <w:ind w:firstLine="640" w:firstLineChars="200"/>
        <w:jc w:val="center"/>
        <w:rPr>
          <w:rFonts w:hint="eastAsia" w:ascii="方正小标宋_GBK" w:hAnsi="黑体" w:eastAsia="方正小标宋_GBK"/>
          <w:sz w:val="32"/>
          <w:szCs w:val="32"/>
        </w:rPr>
      </w:pPr>
      <w:r>
        <w:rPr>
          <w:rFonts w:hint="eastAsia" w:ascii="方正小标宋_GBK" w:hAnsi="黑体" w:eastAsia="方正小标宋_GBK"/>
          <w:sz w:val="32"/>
          <w:szCs w:val="32"/>
        </w:rPr>
        <w:t>摘要（2000字以内）</w:t>
      </w:r>
    </w:p>
    <w:p>
      <w:pPr>
        <w:spacing w:line="520" w:lineRule="exact"/>
        <w:ind w:firstLine="640" w:firstLineChars="200"/>
        <w:jc w:val="center"/>
        <w:rPr>
          <w:rFonts w:hint="eastAsia" w:ascii="方正小标宋_GBK" w:hAnsi="黑体" w:eastAsia="方正小标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方正小标宋_GBK" w:hAnsi="黑体" w:eastAsia="方正小标宋_GBK"/>
          <w:sz w:val="32"/>
          <w:szCs w:val="32"/>
        </w:rPr>
      </w:pPr>
      <w:r>
        <w:rPr>
          <w:rFonts w:hint="eastAsia" w:ascii="仿宋_GB2312" w:hAnsi="黑体" w:eastAsia="仿宋_GB2312" w:cs="Times New Roman"/>
          <w:kern w:val="2"/>
          <w:sz w:val="32"/>
          <w:szCs w:val="32"/>
          <w:lang w:val="en-US" w:eastAsia="zh-CN" w:bidi="ar-SA"/>
        </w:rPr>
        <w:t>迪庆州种子管理站在2019年的工作中严格遵照州人民政府、州财政局要求流程对部门支出进行预算、申报并制定相应的绩效目标，有针对性的制定项目实施计划。根据</w:t>
      </w:r>
      <w:r>
        <w:rPr>
          <w:rFonts w:hint="eastAsia" w:ascii="仿宋_GB2312" w:eastAsia="仿宋_GB2312" w:cs="仿宋_GB2312"/>
          <w:color w:val="000000"/>
          <w:kern w:val="0"/>
          <w:sz w:val="32"/>
          <w:szCs w:val="32"/>
        </w:rPr>
        <w:t>《关于印发〈201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年度政府</w:t>
      </w:r>
      <w:r>
        <w:rPr>
          <w:rFonts w:hint="eastAsia" w:ascii="仿宋_GB2312" w:eastAsia="仿宋_GB2312" w:cs="仿宋_GB2312"/>
          <w:color w:val="000000"/>
          <w:kern w:val="0"/>
          <w:sz w:val="32"/>
          <w:szCs w:val="32"/>
          <w:lang w:eastAsia="zh-CN"/>
        </w:rPr>
        <w:t>部门</w:t>
      </w:r>
      <w:r>
        <w:rPr>
          <w:rFonts w:hint="eastAsia" w:ascii="仿宋_GB2312" w:eastAsia="仿宋_GB2312" w:cs="仿宋_GB2312"/>
          <w:color w:val="000000"/>
          <w:kern w:val="0"/>
          <w:sz w:val="32"/>
          <w:szCs w:val="32"/>
        </w:rPr>
        <w:t>目标督查管理工作目标及考核办法〉的通知》（迪目督办发〔201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6</w:t>
      </w:r>
      <w:r>
        <w:rPr>
          <w:rFonts w:hint="eastAsia" w:ascii="仿宋_GB2312" w:eastAsia="仿宋_GB2312" w:cs="仿宋_GB2312"/>
          <w:color w:val="000000"/>
          <w:kern w:val="0"/>
          <w:sz w:val="32"/>
          <w:szCs w:val="32"/>
        </w:rPr>
        <w:t>号）</w:t>
      </w:r>
      <w:r>
        <w:rPr>
          <w:rFonts w:hint="eastAsia" w:ascii="仿宋_GB2312" w:eastAsia="仿宋_GB2312" w:cs="仿宋_GB2312"/>
          <w:color w:val="000000"/>
          <w:kern w:val="0"/>
          <w:sz w:val="32"/>
          <w:szCs w:val="32"/>
          <w:lang w:eastAsia="zh-CN"/>
        </w:rPr>
        <w:t>文件精神对本部门</w:t>
      </w:r>
      <w:r>
        <w:rPr>
          <w:rFonts w:hint="eastAsia" w:ascii="仿宋_GB2312" w:eastAsia="仿宋_GB2312" w:cs="仿宋_GB2312"/>
          <w:color w:val="000000"/>
          <w:kern w:val="0"/>
          <w:sz w:val="32"/>
          <w:szCs w:val="32"/>
          <w:lang w:val="en-US" w:eastAsia="zh-CN"/>
        </w:rPr>
        <w:t>2019年度部门整体支出绩效进行自评。</w:t>
      </w:r>
      <w:r>
        <w:rPr>
          <w:rFonts w:hint="eastAsia" w:ascii="仿宋_GB2312" w:eastAsia="仿宋_GB2312" w:cs="仿宋_GB2312"/>
          <w:color w:val="000000"/>
          <w:kern w:val="0"/>
          <w:sz w:val="32"/>
          <w:szCs w:val="32"/>
          <w:lang w:eastAsia="zh-CN"/>
        </w:rPr>
        <w:t>按照</w:t>
      </w:r>
      <w:r>
        <w:rPr>
          <w:rFonts w:hint="eastAsia" w:ascii="仿宋_GB2312" w:eastAsia="仿宋_GB2312" w:cs="仿宋_GB2312"/>
          <w:color w:val="000000"/>
          <w:kern w:val="0"/>
          <w:sz w:val="32"/>
          <w:szCs w:val="32"/>
        </w:rPr>
        <w:t>《迪庆州2019年春季农作物种子市场专项监督检查实施方案》和《迪庆州农业农村局关于印发&lt;迪庆州2019年秋季农作物种子市场和生产基地专项监督检查行动实施方案&gt;的通知》。在秋、冬季种子经营户进货阶段及时组织各县（市）种子管理部门开展上门检查、宣传并督促种子经营户做好备案工作</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加强事中事后监管，极大的保障了我州种子市场安全。全年共出动检查执法226人次，抽取62个样品，出具检查结果（行政指导）报告单32份。</w:t>
      </w:r>
      <w:r>
        <w:rPr>
          <w:rFonts w:hint="eastAsia" w:ascii="仿宋_GB2312" w:eastAsia="仿宋_GB2312" w:cs="仿宋_GB2312"/>
          <w:color w:val="000000"/>
          <w:kern w:val="0"/>
          <w:sz w:val="32"/>
          <w:szCs w:val="32"/>
          <w:lang w:val="en-US" w:eastAsia="zh-CN"/>
        </w:rPr>
        <w:t>较好地完成了绩效目标，取得了优</w:t>
      </w:r>
      <w:r>
        <w:rPr>
          <w:rFonts w:hint="eastAsia" w:ascii="仿宋_GB2312" w:hAnsi="黑体" w:eastAsia="仿宋_GB2312"/>
          <w:sz w:val="32"/>
          <w:szCs w:val="32"/>
          <w:lang w:val="en-US" w:eastAsia="zh-CN"/>
        </w:rPr>
        <w:t>异的成绩。</w:t>
      </w:r>
    </w:p>
    <w:p>
      <w:pPr>
        <w:numPr>
          <w:ilvl w:val="0"/>
          <w:numId w:val="1"/>
        </w:numPr>
        <w:spacing w:line="52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部门概况：</w:t>
      </w:r>
    </w:p>
    <w:p>
      <w:pPr>
        <w:numPr>
          <w:ilvl w:val="0"/>
          <w:numId w:val="2"/>
        </w:numPr>
        <w:spacing w:line="360" w:lineRule="auto"/>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主要职能职责，年度重点工作</w:t>
      </w:r>
      <w:r>
        <w:rPr>
          <w:rFonts w:hint="eastAsia" w:ascii="仿宋_GB2312" w:hAnsi="黑体"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迪庆州种子管理站隶属迪庆州农牧局下属公益性农业事业单位，具有独立的法人资格，单位法人为提布，单位级别为正科级公益性事业单位。主要职能为依法履行种子行政许可、行政处罚、行政管理等职责，在品种管理、质量管理、生产经营许可证管理、市场监管和良种推广等方面充分发挥职能作用；宣传贯彻种子法律、法规和产业政策，制定并组织实施本区域种子产业发展规划；负责农作物新品种实验示范试制、农作物新品种审定、备荒种子储备管理、种子质量纠纷田间现场鉴定、种业信息统计分析及种子科技服务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2、预算收支总额：</w:t>
      </w:r>
    </w:p>
    <w:p>
      <w:pPr>
        <w:spacing w:line="360" w:lineRule="auto"/>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（1）2018年度收入364.11万元，2019年度收入392.47万元，与上年相比增1.08%。</w:t>
      </w:r>
    </w:p>
    <w:p>
      <w:pPr>
        <w:spacing w:line="360" w:lineRule="auto"/>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rPr>
        <w:t>（2）2018年度支出364.62万元，2019年度支出378.57万元，与上年相比增1.04%。</w:t>
      </w:r>
    </w:p>
    <w:p>
      <w:pPr>
        <w:pStyle w:val="2"/>
        <w:numPr>
          <w:ilvl w:val="0"/>
          <w:numId w:val="3"/>
        </w:numPr>
        <w:rPr>
          <w:rFonts w:hint="eastAsia" w:ascii="仿宋_GB2312" w:hAnsi="黑体" w:eastAsia="仿宋_GB2312"/>
          <w:sz w:val="32"/>
          <w:szCs w:val="32"/>
        </w:rPr>
      </w:pPr>
      <w:r>
        <w:rPr>
          <w:rFonts w:hint="eastAsia" w:ascii="仿宋_GB2312" w:hAnsi="黑体" w:eastAsia="仿宋_GB2312"/>
          <w:sz w:val="32"/>
          <w:szCs w:val="32"/>
        </w:rPr>
        <w:t>预算执行情况</w:t>
      </w:r>
    </w:p>
    <w:tbl>
      <w:tblPr>
        <w:tblStyle w:val="5"/>
        <w:tblW w:w="9650" w:type="dxa"/>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25"/>
        <w:gridCol w:w="509"/>
        <w:gridCol w:w="1519"/>
        <w:gridCol w:w="1683"/>
        <w:gridCol w:w="1458"/>
        <w:gridCol w:w="550"/>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232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指    标</w:t>
            </w:r>
          </w:p>
        </w:tc>
        <w:tc>
          <w:tcPr>
            <w:tcW w:w="50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行次</w:t>
            </w:r>
          </w:p>
        </w:tc>
        <w:tc>
          <w:tcPr>
            <w:tcW w:w="151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本年度</w:t>
            </w:r>
          </w:p>
        </w:tc>
        <w:tc>
          <w:tcPr>
            <w:tcW w:w="1683"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上年度</w:t>
            </w:r>
          </w:p>
        </w:tc>
        <w:tc>
          <w:tcPr>
            <w:tcW w:w="1458"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比上年增减</w:t>
            </w:r>
          </w:p>
        </w:tc>
        <w:tc>
          <w:tcPr>
            <w:tcW w:w="55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增减％</w:t>
            </w:r>
          </w:p>
        </w:tc>
        <w:tc>
          <w:tcPr>
            <w:tcW w:w="1606" w:type="dxa"/>
            <w:vMerge w:val="restart"/>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23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50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151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1683"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1458"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55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1606" w:type="dxa"/>
            <w:vMerge w:val="continue"/>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年度收支情况（单位：元）</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本年收入</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3,924,696.24</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3,641,099.76</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283596.48</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其中：一般公共预算财政拨款</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3,924,696.24</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3,641,099.76</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283596.48</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政府性基金预算财政拨款</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*事业收入</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经营收入</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*其他收入</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7</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2.本年支出</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3,785,718.04</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3,646,242.66</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139475.38</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1.04</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其中：基本支出</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9</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3,216,776.24</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3,330,099.76</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-113323.52</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-0.97</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2018年政策性调资并补发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（1）人员经费</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3,069,127.20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3,205,195.48</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-136068.28</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-0.96</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2018年度增加基本人员工资及艰苦边远津贴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（2）日常公用经费</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11</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147,649.04</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124,904.28</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22744.76</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业务量大，下乡培训次数多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项目支出</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12</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568,941.80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316,142.90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252798.9</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2019年度专项经费多于上一年度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（1）基本建设类项目</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13</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w:t>
            </w:r>
          </w:p>
        </w:tc>
        <w:tc>
          <w:tcPr>
            <w:tcW w:w="1606" w:type="dxa"/>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32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经营支出</w:t>
            </w: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15</w:t>
            </w:r>
          </w:p>
        </w:tc>
        <w:tc>
          <w:tcPr>
            <w:tcW w:w="15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4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5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1606" w:type="dxa"/>
            <w:tcBorders>
              <w:top w:val="nil"/>
              <w:left w:val="nil"/>
              <w:bottom w:val="single" w:color="000000" w:sz="8" w:space="0"/>
              <w:right w:val="single" w:color="000000" w:sz="12"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bl>
    <w:p>
      <w:pPr>
        <w:pStyle w:val="2"/>
        <w:numPr>
          <w:ilvl w:val="0"/>
          <w:numId w:val="0"/>
        </w:numPr>
        <w:rPr>
          <w:rFonts w:hint="default" w:ascii="仿宋_GB2312" w:hAnsi="黑体" w:eastAsia="仿宋_GB2312"/>
          <w:sz w:val="32"/>
          <w:szCs w:val="32"/>
          <w:lang w:val="en-US" w:eastAsia="zh-CN"/>
        </w:rPr>
      </w:pPr>
    </w:p>
    <w:p>
      <w:pPr>
        <w:numPr>
          <w:ilvl w:val="0"/>
          <w:numId w:val="1"/>
        </w:numPr>
        <w:spacing w:line="520" w:lineRule="exac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评价结论及绩效分析：</w:t>
      </w:r>
    </w:p>
    <w:p>
      <w:pPr>
        <w:adjustRightInd w:val="0"/>
        <w:spacing w:line="520" w:lineRule="exact"/>
        <w:ind w:firstLine="640" w:firstLineChars="200"/>
        <w:rPr>
          <w:rFonts w:hint="eastAsia" w:ascii="仿宋_GB2312" w:hAnsi="黑体" w:eastAsia="仿宋_GB2312"/>
          <w:sz w:val="32"/>
          <w:szCs w:val="32"/>
        </w:rPr>
      </w:pPr>
      <w:r>
        <w:rPr>
          <w:rFonts w:hint="eastAsia" w:ascii="仿宋_GB2312" w:eastAsia="仿宋_GB2312" w:cs="仿宋_GB2312"/>
          <w:color w:val="000000"/>
          <w:kern w:val="0"/>
          <w:sz w:val="32"/>
          <w:szCs w:val="32"/>
        </w:rPr>
        <w:t>根据《云南省对下专项转移支付绩效目标管理暂行办法》（云财预〔2016〕5号）、《云南省财政厅关于印发云南省省级部门财政支出绩效自评暂行办法的通知》（云财预〔2016〕98），我站落实了项目具体负责人，各个组室明确分工，制定了项目相关的管理制度，通过加强对项目立项、项目技术方案的审查，强化对项目承担人员业务、技术及财务管理等措施，圆满完成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w:t>
      </w:r>
      <w:r>
        <w:rPr>
          <w:rFonts w:hint="eastAsia" w:ascii="仿宋_GB2312" w:eastAsia="仿宋_GB2312" w:cs="仿宋_GB2312"/>
          <w:color w:val="000000"/>
          <w:kern w:val="0"/>
          <w:sz w:val="32"/>
          <w:szCs w:val="32"/>
          <w:lang w:eastAsia="zh-CN"/>
        </w:rPr>
        <w:t>州</w:t>
      </w:r>
      <w:r>
        <w:rPr>
          <w:rFonts w:hint="eastAsia" w:ascii="仿宋_GB2312" w:eastAsia="仿宋_GB2312" w:cs="仿宋_GB2312"/>
          <w:color w:val="000000"/>
          <w:kern w:val="0"/>
          <w:sz w:val="32"/>
          <w:szCs w:val="32"/>
        </w:rPr>
        <w:t>级财政资金各项工作目标，保证了201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年度</w:t>
      </w:r>
      <w:r>
        <w:rPr>
          <w:rFonts w:hint="eastAsia" w:ascii="仿宋_GB2312" w:eastAsia="仿宋_GB2312" w:cs="仿宋_GB2312"/>
          <w:color w:val="000000"/>
          <w:kern w:val="0"/>
          <w:sz w:val="32"/>
          <w:szCs w:val="32"/>
          <w:lang w:eastAsia="zh-CN"/>
        </w:rPr>
        <w:t>高产创建</w:t>
      </w:r>
      <w:r>
        <w:rPr>
          <w:rFonts w:hint="eastAsia" w:ascii="仿宋_GB2312" w:eastAsia="仿宋_GB2312" w:cs="仿宋_GB2312"/>
          <w:color w:val="000000"/>
          <w:kern w:val="0"/>
          <w:sz w:val="32"/>
          <w:szCs w:val="32"/>
        </w:rPr>
        <w:t>项目</w:t>
      </w:r>
      <w:r>
        <w:rPr>
          <w:rFonts w:hint="eastAsia" w:ascii="仿宋_GB2312" w:eastAsia="仿宋_GB2312" w:cs="仿宋_GB2312"/>
          <w:color w:val="000000"/>
          <w:kern w:val="0"/>
          <w:sz w:val="32"/>
          <w:szCs w:val="32"/>
          <w:lang w:eastAsia="zh-CN"/>
        </w:rPr>
        <w:t>和种子市场监管</w:t>
      </w:r>
      <w:r>
        <w:rPr>
          <w:rFonts w:hint="eastAsia" w:ascii="仿宋_GB2312" w:eastAsia="仿宋_GB2312" w:cs="仿宋_GB2312"/>
          <w:color w:val="000000"/>
          <w:kern w:val="0"/>
          <w:sz w:val="32"/>
          <w:szCs w:val="32"/>
        </w:rPr>
        <w:t>的顺利实施，取得了良好效益。</w:t>
      </w:r>
    </w:p>
    <w:p>
      <w:pPr>
        <w:spacing w:line="520" w:lineRule="exact"/>
        <w:ind w:firstLine="640" w:firstLineChars="200"/>
        <w:jc w:val="left"/>
        <w:rPr>
          <w:rFonts w:ascii="黑体" w:hAnsi="黑体" w:eastAsia="黑体"/>
          <w:sz w:val="32"/>
          <w:szCs w:val="32"/>
        </w:rPr>
      </w:pPr>
      <w:r>
        <w:rPr>
          <w:rFonts w:hint="eastAsia" w:ascii="黑体" w:hAnsi="黑体" w:eastAsia="黑体"/>
          <w:sz w:val="32"/>
          <w:szCs w:val="32"/>
        </w:rPr>
        <w:t>三、经验、问题和建议</w:t>
      </w:r>
    </w:p>
    <w:p>
      <w:pPr>
        <w:spacing w:line="520" w:lineRule="exact"/>
        <w:ind w:firstLine="640" w:firstLineChars="200"/>
        <w:jc w:val="left"/>
        <w:rPr>
          <w:rFonts w:hint="eastAsia" w:ascii="楷体" w:hAnsi="楷体" w:eastAsia="楷体"/>
          <w:sz w:val="32"/>
          <w:szCs w:val="32"/>
        </w:rPr>
      </w:pPr>
      <w:r>
        <w:rPr>
          <w:rFonts w:hint="eastAsia" w:ascii="楷体" w:hAnsi="楷体" w:eastAsia="楷体"/>
          <w:sz w:val="32"/>
          <w:szCs w:val="32"/>
        </w:rPr>
        <w:t>1.经验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楷体" w:hAnsi="楷体" w:eastAsia="楷体"/>
          <w:sz w:val="32"/>
          <w:szCs w:val="32"/>
        </w:rPr>
      </w:pPr>
      <w:r>
        <w:rPr>
          <w:rFonts w:hint="eastAsia" w:ascii="仿宋_GB2312" w:hAnsi="黑体" w:eastAsia="仿宋_GB2312" w:cs="Times New Roman"/>
          <w:sz w:val="32"/>
          <w:szCs w:val="32"/>
          <w:lang w:val="en-US" w:eastAsia="zh-CN"/>
        </w:rPr>
        <w:t>部门开展项目有健全的管理机构作为保障并明确实施主体责任；加强部门内部资金使用的监督检查，结合部门组织的目标考核、专项检查、专项督查工作中，均将项目资金的使用管理的核查作为所有考评工作的重要内容，并在项目实施完成后及时开展绩效自评。重视配合部门外部监督检查工作，如配合审计部门开展预算执行和财务收支审计工作，并对审计发现的问题积极开展整改工作。</w:t>
      </w:r>
    </w:p>
    <w:p>
      <w:pPr>
        <w:numPr>
          <w:ilvl w:val="0"/>
          <w:numId w:val="4"/>
        </w:numPr>
        <w:spacing w:line="520" w:lineRule="exact"/>
        <w:ind w:firstLine="640" w:firstLineChars="200"/>
        <w:jc w:val="left"/>
        <w:rPr>
          <w:rFonts w:hint="eastAsia" w:ascii="楷体" w:hAnsi="楷体" w:eastAsia="楷体"/>
          <w:sz w:val="32"/>
          <w:szCs w:val="32"/>
        </w:rPr>
      </w:pPr>
      <w:r>
        <w:rPr>
          <w:rFonts w:hint="eastAsia" w:ascii="楷体" w:hAnsi="楷体" w:eastAsia="楷体"/>
          <w:sz w:val="32"/>
          <w:szCs w:val="32"/>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资金下达到实施单位滞后，造成前期等，后期紧，错过农业生产环节，在要求的时限范围内完成资金的支付较为困难。</w:t>
      </w:r>
    </w:p>
    <w:p>
      <w:pPr>
        <w:numPr>
          <w:ilvl w:val="0"/>
          <w:numId w:val="4"/>
        </w:numPr>
        <w:spacing w:line="520" w:lineRule="exact"/>
        <w:ind w:left="0" w:leftChars="0" w:firstLine="640" w:firstLineChars="200"/>
        <w:jc w:val="left"/>
        <w:rPr>
          <w:rFonts w:hint="eastAsia" w:ascii="楷体" w:hAnsi="楷体" w:eastAsia="楷体"/>
          <w:sz w:val="32"/>
          <w:szCs w:val="32"/>
        </w:rPr>
      </w:pPr>
      <w:r>
        <w:rPr>
          <w:rFonts w:hint="eastAsia" w:ascii="楷体" w:hAnsi="楷体" w:eastAsia="楷体"/>
          <w:sz w:val="32"/>
          <w:szCs w:val="32"/>
        </w:rPr>
        <w:t>改进措施及建议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一是要积极落实好每项工作，争取政府支持,做到资金及时下达，不误农时；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二是要不断加强工作高素质人员队伍建设，提高工作人员管理水平和业务水平；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三是要加强农业农村问题研究，深入了解项目实施期间各方面的实际需求，整合资源以提高针对性，合理有效使用项目资金，提高项目实施效率。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_GBK" w:hAnsi="黑体" w:eastAsia="方正小标宋_GBK"/>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_GBK" w:hAnsi="黑体" w:eastAsia="方正小标宋_GBK"/>
          <w:sz w:val="52"/>
          <w:szCs w:val="52"/>
        </w:rPr>
      </w:pPr>
      <w:r>
        <w:rPr>
          <w:rFonts w:hint="eastAsia" w:ascii="方正小标宋_GBK" w:hAnsi="黑体" w:eastAsia="方正小标宋_GBK"/>
          <w:sz w:val="52"/>
          <w:szCs w:val="52"/>
        </w:rPr>
        <w:t>正文：</w:t>
      </w:r>
      <w:r>
        <w:rPr>
          <w:rFonts w:hint="eastAsia" w:ascii="方正小标宋_GBK" w:hAnsi="黑体" w:eastAsia="方正小标宋_GBK"/>
          <w:sz w:val="52"/>
          <w:szCs w:val="52"/>
          <w:lang w:eastAsia="zh-CN"/>
        </w:rPr>
        <w:t>迪庆州种子管理站</w:t>
      </w:r>
      <w:r>
        <w:rPr>
          <w:rFonts w:hint="eastAsia" w:ascii="方正小标宋_GBK" w:hAnsi="黑体" w:eastAsia="方正小标宋_GBK"/>
          <w:sz w:val="52"/>
          <w:szCs w:val="52"/>
        </w:rPr>
        <w:t>20</w:t>
      </w:r>
      <w:r>
        <w:rPr>
          <w:rFonts w:hint="eastAsia" w:ascii="方正小标宋_GBK" w:hAnsi="黑体" w:eastAsia="方正小标宋_GBK"/>
          <w:sz w:val="52"/>
          <w:szCs w:val="52"/>
          <w:lang w:val="en-US" w:eastAsia="zh-CN"/>
        </w:rPr>
        <w:t>19</w:t>
      </w:r>
      <w:r>
        <w:rPr>
          <w:rFonts w:hint="eastAsia" w:ascii="方正小标宋_GBK" w:hAnsi="黑体" w:eastAsia="方正小标宋_GBK"/>
          <w:sz w:val="52"/>
          <w:szCs w:val="52"/>
        </w:rPr>
        <w:t>度部门整体支出绩效评价报告</w:t>
      </w:r>
    </w:p>
    <w:p>
      <w:pPr>
        <w:topLinePunct/>
        <w:spacing w:line="520" w:lineRule="exact"/>
        <w:ind w:firstLine="800" w:firstLineChars="250"/>
        <w:rPr>
          <w:rFonts w:ascii="黑体" w:eastAsia="黑体"/>
          <w:sz w:val="32"/>
          <w:szCs w:val="32"/>
        </w:rPr>
      </w:pPr>
    </w:p>
    <w:p>
      <w:pPr>
        <w:topLinePunct/>
        <w:spacing w:line="520" w:lineRule="exact"/>
        <w:ind w:firstLine="800" w:firstLineChars="250"/>
        <w:rPr>
          <w:rFonts w:ascii="黑体" w:eastAsia="黑体"/>
          <w:sz w:val="32"/>
          <w:szCs w:val="32"/>
        </w:rPr>
      </w:pPr>
      <w:r>
        <w:rPr>
          <w:rFonts w:hint="eastAsia" w:ascii="黑体" w:eastAsia="黑体"/>
          <w:sz w:val="32"/>
          <w:szCs w:val="32"/>
        </w:rPr>
        <w:t>一、部门概况</w:t>
      </w:r>
    </w:p>
    <w:p>
      <w:p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（一）部门机构设置、编制。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迪庆州种子管理站，为独立核算的州农牧局下属二级预算事业单位1户。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全额拨款事业编制11人：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上年度年末人员构成情况15人（其中：在职11人，退休转在职1人，正式退休3人。）年末核算在职人员12人。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 w:eastAsia="仿宋_GB2312" w:cs="仿宋_GB2312"/>
          <w:sz w:val="32"/>
          <w:szCs w:val="32"/>
        </w:rPr>
      </w:pPr>
      <w:r>
        <w:rPr>
          <w:rFonts w:hint="eastAsia" w:ascii="仿宋_GB2312" w:hAnsi="黑体" w:eastAsia="仿宋_GB2312" w:cs="Times New Roman"/>
          <w:sz w:val="32"/>
          <w:szCs w:val="32"/>
          <w:lang w:val="en-US" w:eastAsia="zh-CN"/>
        </w:rPr>
        <w:t xml:space="preserve">2019年末人员构成情况16人【其中：在职11人（含2019年9月考试录用1人），退休转在职2人，正式退休3人】，年末核算在职人员13人。  </w:t>
      </w:r>
      <w:r>
        <w:rPr>
          <w:rFonts w:ascii="仿宋_GB2312" w:hAnsi="仿宋" w:eastAsia="仿宋_GB2312" w:cs="仿宋_GB2312"/>
          <w:sz w:val="32"/>
          <w:szCs w:val="32"/>
        </w:rPr>
        <w:t xml:space="preserve"> </w:t>
      </w:r>
    </w:p>
    <w:p>
      <w:pPr>
        <w:numPr>
          <w:ilvl w:val="0"/>
          <w:numId w:val="5"/>
        </w:num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部门职能。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sz w:val="32"/>
          <w:szCs w:val="32"/>
        </w:rPr>
      </w:pPr>
      <w:r>
        <w:rPr>
          <w:rFonts w:hint="eastAsia" w:ascii="仿宋_GB2312" w:hAnsi="黑体" w:eastAsia="仿宋_GB2312" w:cs="Times New Roman"/>
          <w:sz w:val="32"/>
          <w:szCs w:val="32"/>
          <w:lang w:val="en-US" w:eastAsia="zh-CN"/>
        </w:rPr>
        <w:t>迪庆州种子管理站隶属迪庆州农牧局下属公益性农业事业单位，具有独立的法人资格，单位法人为提布，单位级别为正科级公益性事业单位。主要职能为依法履行种子行政许可、行政处罚、行政管理等职责，在品种管理、质量管理、生产经营许可证管理、市场监管和良种推广等方面充分发挥职能作用；宣传贯彻种子法律、法规和产业政策，制定并组织实施本区域种子产业发展规划；负责农作物新品种实验示范试制、农作物新品种审定、备荒种子储备管理、种子质量纠纷田间现场鉴定、种业信息统计分析及种子科技服务等工作。</w:t>
      </w:r>
    </w:p>
    <w:p>
      <w:pPr>
        <w:numPr>
          <w:ilvl w:val="0"/>
          <w:numId w:val="5"/>
        </w:numPr>
        <w:topLinePunct/>
        <w:spacing w:line="520" w:lineRule="exact"/>
        <w:ind w:left="0" w:leftChars="0" w:firstLine="800" w:firstLineChars="250"/>
        <w:rPr>
          <w:rFonts w:hint="eastAsia" w:ascii="楷体" w:hAnsi="楷体" w:eastAsia="楷体"/>
          <w:sz w:val="32"/>
          <w:szCs w:val="32"/>
        </w:rPr>
      </w:pPr>
      <w:r>
        <w:rPr>
          <w:rFonts w:hint="eastAsia" w:ascii="楷体" w:hAnsi="楷体" w:eastAsia="楷体"/>
          <w:sz w:val="32"/>
          <w:szCs w:val="32"/>
        </w:rPr>
        <w:t>部门工作完成情况。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1、加强种子市场监管，确保农业用种安全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2、依法加强经营备案管理，建立种子销售台账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3、加强种子质量检验，确保种子质量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4、切实推进“互联网+监管”数据推送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5、强化科技示范，实施绿色高质高效创建项目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6、开展农作物品种展示示范，强化示范带动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7、加强种业信息统计，提高决策依据能力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黑体" w:eastAsia="仿宋_GB2312" w:cs="Times New Roman"/>
          <w:sz w:val="32"/>
          <w:szCs w:val="32"/>
          <w:lang w:val="en-US" w:eastAsia="zh-CN"/>
        </w:rPr>
        <w:t>8、根据云南省种子管理站种业信息统计工作要求，严格按照时间节点，对全州种业信息工作进行了认真、及时、准确的采集、统计汇总，及时上报《种业基础信息统计表》、《云南省主要农作物良种推广面积统计表》、《农作物种子供需形势分析调度》和其他需要临时调度的种业信息情况、种子市场观察点监督指导情况。为行业管理、宏观指导、产业服务和政府决策提供重要依据。</w:t>
      </w:r>
    </w:p>
    <w:p>
      <w:p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（四）部门管理制度。</w:t>
      </w:r>
    </w:p>
    <w:p>
      <w:pPr>
        <w:keepNext w:val="0"/>
        <w:keepLines w:val="0"/>
        <w:pageBreakBefore w:val="0"/>
        <w:widowControl w:val="0"/>
        <w:kinsoku/>
        <w:wordWrap/>
        <w:overflowPunct/>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部门管理制度如下：</w:t>
      </w:r>
    </w:p>
    <w:p>
      <w:pPr>
        <w:keepNext w:val="0"/>
        <w:keepLines w:val="0"/>
        <w:pageBreakBefore w:val="0"/>
        <w:widowControl w:val="0"/>
        <w:kinsoku/>
        <w:wordWrap/>
        <w:overflowPunct/>
        <w:autoSpaceDE/>
        <w:autoSpaceDN/>
        <w:bidi w:val="0"/>
        <w:adjustRightInd/>
        <w:snapToGrid w:val="0"/>
        <w:spacing w:line="520" w:lineRule="exact"/>
        <w:ind w:firstLine="640" w:firstLineChars="200"/>
        <w:textAlignment w:val="auto"/>
        <w:rPr>
          <w:rFonts w:hint="eastAsia" w:ascii="楷体" w:hAnsi="楷体" w:eastAsia="楷体"/>
          <w:sz w:val="32"/>
          <w:szCs w:val="32"/>
        </w:rPr>
      </w:pPr>
      <w:r>
        <w:rPr>
          <w:rFonts w:hint="eastAsia" w:ascii="仿宋_GB2312" w:hAnsi="仿宋" w:eastAsia="仿宋_GB2312"/>
          <w:sz w:val="32"/>
          <w:szCs w:val="32"/>
          <w:lang w:val="en-US" w:eastAsia="zh-CN"/>
        </w:rPr>
        <w:t>迪庆藏族自治州农牧局规章制度（试行）、固定资产管理制度、收支管理内部控制制度、预算管理内部控制制度、政府采购管理内部控制制度。</w:t>
      </w:r>
    </w:p>
    <w:p>
      <w:pPr>
        <w:numPr>
          <w:numId w:val="0"/>
        </w:numPr>
        <w:topLinePunct/>
        <w:spacing w:line="520" w:lineRule="exact"/>
        <w:ind w:leftChars="250"/>
        <w:rPr>
          <w:rFonts w:hint="eastAsia" w:ascii="楷体" w:hAnsi="楷体" w:eastAsia="楷体"/>
          <w:sz w:val="32"/>
          <w:szCs w:val="32"/>
        </w:rPr>
      </w:pPr>
      <w:r>
        <w:rPr>
          <w:rFonts w:hint="eastAsia" w:ascii="楷体" w:hAnsi="楷体" w:eastAsia="楷体"/>
          <w:sz w:val="32"/>
          <w:szCs w:val="32"/>
          <w:lang w:eastAsia="zh-CN"/>
        </w:rPr>
        <w:t>（五）</w:t>
      </w:r>
      <w:r>
        <w:rPr>
          <w:rFonts w:hint="eastAsia" w:ascii="楷体" w:hAnsi="楷体" w:eastAsia="楷体"/>
          <w:sz w:val="32"/>
          <w:szCs w:val="32"/>
        </w:rPr>
        <w:t>部门资金来源及使用情况。</w:t>
      </w:r>
    </w:p>
    <w:p>
      <w:pPr>
        <w:keepNext w:val="0"/>
        <w:keepLines w:val="0"/>
        <w:pageBreakBefore w:val="0"/>
        <w:widowControl w:val="0"/>
        <w:kinsoku/>
        <w:wordWrap/>
        <w:overflowPunct/>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资金来源：全额财政拨款</w:t>
      </w:r>
    </w:p>
    <w:p>
      <w:pPr>
        <w:keepNext w:val="0"/>
        <w:keepLines w:val="0"/>
        <w:pageBreakBefore w:val="0"/>
        <w:widowControl w:val="0"/>
        <w:kinsoku/>
        <w:wordWrap/>
        <w:overflowPunct/>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使用情况：</w:t>
      </w:r>
    </w:p>
    <w:tbl>
      <w:tblPr>
        <w:tblStyle w:val="5"/>
        <w:tblW w:w="8325"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22"/>
        <w:gridCol w:w="2190"/>
        <w:gridCol w:w="2096"/>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trPr>
        <w:tc>
          <w:tcPr>
            <w:tcW w:w="2022" w:type="dxa"/>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指    标</w:t>
            </w:r>
          </w:p>
        </w:tc>
        <w:tc>
          <w:tcPr>
            <w:tcW w:w="2190"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行次</w:t>
            </w:r>
          </w:p>
        </w:tc>
        <w:tc>
          <w:tcPr>
            <w:tcW w:w="2096"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本年度</w:t>
            </w:r>
          </w:p>
        </w:tc>
        <w:tc>
          <w:tcPr>
            <w:tcW w:w="2017"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占总收入（或总支出）的比重%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190"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096"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017"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栏    次</w:t>
            </w:r>
            <w:r>
              <w:rPr>
                <w:rStyle w:val="12"/>
                <w:rFonts w:eastAsia="仿宋_GB2312"/>
                <w:sz w:val="32"/>
                <w:szCs w:val="32"/>
                <w:lang w:val="en-US" w:eastAsia="zh-CN" w:bidi="ar"/>
              </w:rPr>
              <w:t xml:space="preserve"> </w:t>
            </w:r>
          </w:p>
        </w:tc>
        <w:tc>
          <w:tcPr>
            <w:tcW w:w="2190" w:type="dxa"/>
            <w:tcBorders>
              <w:top w:val="single" w:color="000000" w:sz="12"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一、年度收支情况（单位：元）</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1.本年收入</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3,924,696.24</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其中：一般公共预算财政拨款</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3,924,696.24</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政府性基金预算财政拨款</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*事业收入</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经营收入</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*其他收入</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7</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2.本年支出</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3,785,718.04</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其中：基本支出</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9</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3,216,776.24</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（1）人员经费</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3,205,195.48</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（2）日常公用经费</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11</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147,649.04</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项目支出</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12</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568,941.80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（1）基本建设类项目</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13</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022" w:type="dxa"/>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经营支出</w:t>
            </w:r>
          </w:p>
        </w:tc>
        <w:tc>
          <w:tcPr>
            <w:tcW w:w="21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15</w:t>
            </w:r>
          </w:p>
        </w:tc>
        <w:tc>
          <w:tcPr>
            <w:tcW w:w="20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0</w:t>
            </w:r>
          </w:p>
        </w:tc>
        <w:tc>
          <w:tcPr>
            <w:tcW w:w="20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r>
    </w:tbl>
    <w:p>
      <w:pPr>
        <w:pStyle w:val="2"/>
        <w:ind w:left="0" w:leftChars="0" w:firstLine="0" w:firstLineChars="0"/>
        <w:rPr>
          <w:sz w:val="32"/>
          <w:szCs w:val="32"/>
        </w:rPr>
      </w:pPr>
    </w:p>
    <w:p>
      <w:pPr>
        <w:keepNext w:val="0"/>
        <w:keepLines w:val="0"/>
        <w:pageBreakBefore w:val="0"/>
        <w:widowControl w:val="0"/>
        <w:numPr>
          <w:numId w:val="0"/>
        </w:numPr>
        <w:kinsoku/>
        <w:wordWrap/>
        <w:overflowPunct/>
        <w:topLinePunct/>
        <w:autoSpaceDE/>
        <w:autoSpaceDN/>
        <w:bidi w:val="0"/>
        <w:adjustRightInd/>
        <w:snapToGrid/>
        <w:spacing w:line="520" w:lineRule="exact"/>
        <w:ind w:leftChars="250" w:firstLine="640" w:firstLineChars="200"/>
        <w:textAlignment w:val="auto"/>
        <w:rPr>
          <w:rFonts w:hint="eastAsia" w:ascii="楷体" w:hAnsi="楷体" w:eastAsia="楷体"/>
          <w:sz w:val="32"/>
          <w:szCs w:val="32"/>
        </w:rPr>
      </w:pPr>
      <w:r>
        <w:rPr>
          <w:rFonts w:hint="eastAsia" w:ascii="楷体" w:hAnsi="楷体" w:eastAsia="楷体"/>
          <w:sz w:val="32"/>
          <w:szCs w:val="32"/>
          <w:lang w:eastAsia="zh-CN"/>
        </w:rPr>
        <w:t>（六）</w:t>
      </w:r>
      <w:r>
        <w:rPr>
          <w:rFonts w:hint="eastAsia" w:ascii="楷体" w:hAnsi="楷体" w:eastAsia="楷体"/>
          <w:sz w:val="32"/>
          <w:szCs w:val="32"/>
        </w:rPr>
        <w:t>政府采购情况。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我单位2019年度未发生政府采购。</w:t>
      </w:r>
    </w:p>
    <w:p>
      <w:pPr>
        <w:keepNext w:val="0"/>
        <w:keepLines w:val="0"/>
        <w:pageBreakBefore w:val="0"/>
        <w:widowControl w:val="0"/>
        <w:numPr>
          <w:numId w:val="0"/>
        </w:numPr>
        <w:kinsoku/>
        <w:wordWrap/>
        <w:overflowPunct/>
        <w:topLinePunct/>
        <w:autoSpaceDE/>
        <w:autoSpaceDN/>
        <w:bidi w:val="0"/>
        <w:adjustRightInd/>
        <w:snapToGrid/>
        <w:spacing w:line="520" w:lineRule="exact"/>
        <w:ind w:leftChars="250" w:firstLine="640" w:firstLineChars="200"/>
        <w:textAlignment w:val="auto"/>
        <w:rPr>
          <w:rFonts w:hint="eastAsia" w:ascii="楷体" w:hAnsi="楷体" w:eastAsia="楷体"/>
          <w:sz w:val="32"/>
          <w:szCs w:val="32"/>
        </w:rPr>
      </w:pPr>
      <w:r>
        <w:rPr>
          <w:rFonts w:hint="eastAsia" w:ascii="楷体" w:hAnsi="楷体" w:eastAsia="楷体"/>
          <w:sz w:val="32"/>
          <w:szCs w:val="32"/>
          <w:lang w:eastAsia="zh-CN"/>
        </w:rPr>
        <w:t>（七）</w:t>
      </w:r>
      <w:r>
        <w:rPr>
          <w:rFonts w:hint="eastAsia" w:ascii="楷体" w:hAnsi="楷体" w:eastAsia="楷体"/>
          <w:sz w:val="32"/>
          <w:szCs w:val="32"/>
        </w:rPr>
        <w:t>固定资产情况。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Fonts w:hint="eastAsia" w:ascii="仿宋_GB2312" w:hAnsi="楷体" w:eastAsia="仿宋_GB2312" w:cs="Times New Roman"/>
          <w:sz w:val="32"/>
          <w:szCs w:val="32"/>
          <w:lang w:val="en-US" w:eastAsia="zh-CN"/>
        </w:rPr>
        <w:t>本年度资产总计7689760.08元，其中本年度累计折旧4308540.66元，资产净值3381220.42元。</w:t>
      </w:r>
    </w:p>
    <w:p>
      <w:pPr>
        <w:topLinePunct/>
        <w:spacing w:line="520" w:lineRule="exact"/>
        <w:ind w:firstLine="800" w:firstLineChars="250"/>
        <w:rPr>
          <w:rFonts w:ascii="黑体" w:hAnsi="黑体" w:eastAsia="黑体"/>
          <w:sz w:val="32"/>
          <w:szCs w:val="32"/>
        </w:rPr>
      </w:pPr>
      <w:r>
        <w:rPr>
          <w:rFonts w:hint="eastAsia" w:ascii="黑体" w:hAnsi="黑体" w:eastAsia="黑体"/>
          <w:sz w:val="32"/>
          <w:szCs w:val="32"/>
        </w:rPr>
        <w:t>二、绩效目标</w:t>
      </w:r>
    </w:p>
    <w:p>
      <w:p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（一）部门总目标。</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rPr>
        <w:t>全面深入学习贯彻党的十九届二次、三次全会精神和中央、省、州农业农村工作会议精神，对标全面建成小康社会、“三农”工作必须完成的硬任务，以实施乡村振兴战略为总抓手，抓重点、补短板、强基础，在实现农业农村现代化征程上迈出新步伐。通过深入学习，使广大职工树立了求真务实，苦干实干的信念,对服务“三农”理解更深刻，也让广大职工充分认识到承担起为农业安全用种的责任之重大。在政治理论学习同时，学习《中华人民共和国种子法》、《农作物种子生产经营许可证管理办法》、《云南省农作物种子条例》等业务知识。积极鼓励和支持干部职工参加各种学习、培训，提高执法水平和为农民服务的本领</w:t>
      </w:r>
      <w:r>
        <w:rPr>
          <w:rFonts w:hint="eastAsia" w:ascii="仿宋_GB2312" w:hAnsi="楷体" w:eastAsia="仿宋_GB2312" w:cs="Times New Roman"/>
          <w:sz w:val="32"/>
          <w:szCs w:val="32"/>
          <w:lang w:eastAsia="zh-CN"/>
        </w:rPr>
        <w:t>。</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楷体" w:hAnsi="楷体" w:eastAsia="楷体"/>
          <w:sz w:val="32"/>
          <w:szCs w:val="32"/>
        </w:rPr>
      </w:pPr>
      <w:r>
        <w:rPr>
          <w:rFonts w:hint="eastAsia" w:ascii="仿宋_GB2312" w:hAnsi="楷体" w:eastAsia="仿宋_GB2312" w:cs="Times New Roman"/>
          <w:sz w:val="32"/>
          <w:szCs w:val="32"/>
        </w:rPr>
        <w:t xml:space="preserve"> 同时，始终把党风廉政建设工作摆在突出位置，认真履行“一岗双责”职责，明确单位主要领导是党风廉政建设和反腐工作的第一责任人，把落实党风廉政建设责任制摆上重要议事日程，做到与业务工作一起部署、一起落实。以严格执行《廉政准则》和党内监督各项制度为主线，认真贯彻落实廉洁自律、个人重大事项报告、诫勉谈话等各项制度。严肃党内政治生活，坚决拥护以习近平同志为核心的党中央权威和党的集中统一领导，牢固树立“四个意识”，通过上廉政党课、观看警示教育片、参观警示教育基地，强化职工“挺纪在前”的思想意识，促进干部职工警钟长鸣、守正勤廉。始终把严密党的政治纪律和政治规矩摆在首要位置，切实做到政治上讲忠诚、组织上讲服从、行动上讲纪律。</w:t>
      </w:r>
    </w:p>
    <w:p>
      <w:pPr>
        <w:numPr>
          <w:ilvl w:val="0"/>
          <w:numId w:val="6"/>
        </w:numPr>
        <w:topLinePunct/>
        <w:spacing w:line="520" w:lineRule="exact"/>
        <w:ind w:firstLine="800" w:firstLineChars="250"/>
        <w:rPr>
          <w:rFonts w:hint="eastAsia" w:ascii="楷体" w:hAnsi="楷体" w:eastAsia="楷体" w:cs="楷体"/>
          <w:sz w:val="32"/>
          <w:szCs w:val="32"/>
        </w:rPr>
      </w:pPr>
      <w:r>
        <w:rPr>
          <w:rFonts w:hint="eastAsia" w:ascii="楷体" w:hAnsi="楷体" w:eastAsia="楷体" w:cs="楷体"/>
          <w:sz w:val="32"/>
          <w:szCs w:val="32"/>
        </w:rPr>
        <w:t>部门项目具体计划目标。</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1、</w:t>
      </w:r>
      <w:r>
        <w:rPr>
          <w:rFonts w:hint="eastAsia" w:ascii="仿宋_GB2312" w:hAnsi="楷体" w:eastAsia="仿宋_GB2312" w:cs="Times New Roman"/>
          <w:sz w:val="32"/>
          <w:szCs w:val="32"/>
        </w:rPr>
        <w:t>强化宣传引导，营造良好氛围</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工作职能，结合春、秋两季种子市场专项监督检查行动、放心农资下乡进村宣传周活动、食品安全宣传周活动大力宣传《中华人民共和国种子法》、《良种购买须知》等。按照农业农村部建立全国统一网络备案数据信息系统平台，种业工作实现网上统一办公，县级4种不办证备案主体的网络备案操作及相关规定、要求，做到种子市场检查工作与宣传普法工作相结合，全年共发放宣传资料2500余份，通过开展扎实有效的宣传，使广大人民群众对种子质量有了全新的认识，树立了种子依法维权的法制观念。</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2、</w:t>
      </w:r>
      <w:r>
        <w:rPr>
          <w:rFonts w:hint="eastAsia" w:ascii="仿宋_GB2312" w:hAnsi="楷体" w:eastAsia="仿宋_GB2312" w:cs="Times New Roman"/>
          <w:sz w:val="32"/>
          <w:szCs w:val="32"/>
        </w:rPr>
        <w:t>加强种子市场监管，确保农业用种安全</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云南省农业农村厅办公室关于开展2019年春季种子市场专项监督检查的通知》（云农办种植〔2019〕71号）、《云南省种子管理站关于转发&lt;全国农技中心关于做好2019年秋季农作物种子市场专项检查工作的通知&gt;的通知》（云种（站）字〔2019〕55号）文件要求，起草制定了《迪庆州2019年春季农作物种子市场专项监督检查实施方案》和《迪庆州农业农村局关于印发&lt;迪庆州2019年秋季农作物种子市场和生产基地专项监督检查行动实施方案&gt;的通知》。坚持“属地管理、检打联动、部门协同、标本兼治”的原则，在秋、冬季种子经营户进货阶段及时组织各县（市）种子管理部门开展上门检查、宣传并督促种子经营户做好备案工作。在全州种子市场销售启动前完成对全州种子经营大户的种子质量抽样工作，在抽样工作中认真检查是否符合备案要求，抓时间抢在市场启动前完成室内三项指标检测（发芽率、水分、净度），要求三项指标检测合格方可备案，加强事中事后监管，极大的保障了我州种子市场安全。全年共出动检查执法226人次，抽取62个样品，出具检查结果（行政指导）报告单32份。并将全州样品抽样信息上报州农业农村局种植业和农药管理科。在市场检查工作中及时制作“农作物种子销售门店备案情况检查记录表”、“农作物种子市场检查经营证书及经营档案检查记录表”、“农作物种子市场检查种子标签检查记录表” 等符合文件要求的市场检查表格，统一检查内容，下发全州种子管理部门，提高检查实效。通过开展市场检查工作，始终保持对套牌侵权、生产经营假劣种子等违法行为的严查严打的高压态势，规范了我州种子市场秩序，切实维护了农民的合法权益，确保了农作物用种安全。</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云南省种子管理站关于开展2019年玉米、水稻品种联合体和自主试验监督检查的通知》（云种站字〔2019〕47号）通知要求，组织州级督查组对我州维西县2个省级联合体试验开展督查工作，通过实地监督检查联合体编号，试验落实情况较好，试验地选择具有代表性，田间试验设计、小区面积合格，田间调查表及试验观察记载、试验档案规范，综合评价试验按试验方案开展，试验有效。</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全国农技中心种子市场观察点建设方案》，我站选择的“香格里拉市农友农业科技服务有限公司”自2018年1月入选种子观察点，入选观察点以来严格按省级文件开展相关种子市场基础信息录入工作，通过1年多长期大量基础数据的录入及指导工作，工作成绩得到上级认可，于2019年8月由全国农技中心授予我州种子观察点“全国优秀达标观察点”称号。</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3、</w:t>
      </w:r>
      <w:r>
        <w:rPr>
          <w:rFonts w:hint="eastAsia" w:ascii="仿宋_GB2312" w:hAnsi="楷体" w:eastAsia="仿宋_GB2312" w:cs="Times New Roman"/>
          <w:sz w:val="32"/>
          <w:szCs w:val="32"/>
        </w:rPr>
        <w:t>依法加强经营备案管理，建立种子销售台账</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监督指导县级种子管理部门做好农作物种子生产经营备案工作，按工作职能详细讲解种子生产经营备案指南、手机备案APP操作。全年全州备案在册经营网点62户，其中香格里拉市备案在册经营网点27户、维西县备案在册经营网点24户、德钦县备案在册经营网点11户。共计发放经营不分装种子备案书212份，其中香格里拉市92份、维西县66份、德钦县54份；使我州种业管理工作走上网络化、规范化，目前网络备案率达85%以上，全州种子市场运行平稳。</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依据《中华人民共和国种子法》，统一定制了《迪庆州农作物种子进货登记台账》、《迪庆州农作物种子销售凭证》、《迪庆州农作物种子销售登记台账》等经营台账，及时组织种子销售户建立经营台账。要求种子经营户在种子销售期结束后及时上交种子经营台账，由辖区种子管理站进行集中随机抽查，保证经营台账建立健全质量，通过台账的统一建立，加强了后期管理。</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4、</w:t>
      </w:r>
      <w:r>
        <w:rPr>
          <w:rFonts w:hint="eastAsia" w:ascii="仿宋_GB2312" w:hAnsi="楷体" w:eastAsia="仿宋_GB2312" w:cs="Times New Roman"/>
          <w:sz w:val="32"/>
          <w:szCs w:val="32"/>
        </w:rPr>
        <w:t>加强种子质量检验，确保种子质量</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2019年检验室共接受封存样品62个，完成扦样备案室内三项指标检测32份样品，出具有效检验报告32份，全年共计扦样农作物品种62份样品，样品涵盖玉米品种50个样品、水稻品种3个样品、麦类品种9个样品。从品种扦样程序到室内三项质量指标检测均程序严格遵循《农作物种子检验规程》进行，并按《农作物种子检验规程》对封样样品进行妥善保存。通过前期扦样备案工作的认真开展结合室内三项指标检测，严把种子质量关。确保我州种子市场无种子案件发生。</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5、</w:t>
      </w:r>
      <w:r>
        <w:rPr>
          <w:rFonts w:hint="eastAsia" w:ascii="仿宋_GB2312" w:hAnsi="楷体" w:eastAsia="仿宋_GB2312" w:cs="Times New Roman"/>
          <w:sz w:val="32"/>
          <w:szCs w:val="32"/>
        </w:rPr>
        <w:t>切实推进“互联网+监管”数据推送</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迪庆州农业农村局关于持续做好向国家“互联网+监管”系统推送监管数据有关工作的通知》（迪农发〔2019〕149号）文件要求，切实推进“互联网+监管”重大改革任务，列入我站政务服务工作，提高政治站位，将“互联网+监管”作为今后一项常态化工作，通过加强组织领导，组建工作专班，明确责任分工，完善工作机制，确保我站监管数据推送任务圆满完成。2019年我站积极组织三县种子管理站填报监管数据，同时填报本级数据。全年共填报州级数据共计189条，其中，场地场所信息1条，行政检查行为数据41条，行政检查实施明细26条，双随机一公开监管对象信息60条，双随机一公开专项计划数据1条，州级执法人员信息表 9条。</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6、</w:t>
      </w:r>
      <w:r>
        <w:rPr>
          <w:rFonts w:hint="eastAsia" w:ascii="仿宋_GB2312" w:hAnsi="楷体" w:eastAsia="仿宋_GB2312" w:cs="Times New Roman"/>
          <w:sz w:val="32"/>
          <w:szCs w:val="32"/>
        </w:rPr>
        <w:t>强化科技示范，实施绿色高质高效创建项目</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青稞绿色高质高效创建示范。完成2019年青稞绿色高质高效创建示范片1片，项目地点在维西县巴迪乡真朴村者阶村民小组。实施核心区面积120亩（含高产攻关样板田5亩），展示区130亩，辐射区1000亩，按照节约资源、节本增效高产优质的原则，采取核心示范区免费提供化肥，展示区和辐射区提供技术指导，集成推广高产栽培技术等技物结合的方式。经州农业农村局粮食生产项目及技术指导专家组田间复测，核心区单产419公斤/亩，展示区单产405公斤/亩，辐射区单产333公斤/亩，平均单产为385公斤/亩。进行田间技术指导90人次，技术培训50人次。</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小麦绿色高质高效创建示范。在德钦县霞若乡月仁村月仁、格中村民小组实施了2019年小麦绿色高质高效创建示范片1片，实施核心区面积130亩（含高产攻关样板田5亩），展示区120亩，辐射区1000亩。按照节约资源、节本增效高产优质的原则，采取核心示范区免费提供化肥，展示区和辐射区提供技术指导，集成推广高产栽培技术等技物结合的方式。经州农业农村局粮食生产项目及技术指导专家组田间复测，核心区单产357公斤/亩，展示区单产345公斤/亩，辐射区单产318公斤/亩，平均单产为340公斤/亩。进行田间技术指导70人次，技术培训50人次。</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玉米绿色高质高效创建示范。分别在德钦县奔子栏镇叶央村、佛山乡江坡村各实施玉米绿色高质高效创建示范一片，每片建设实施核心区120亩（含高产攻关样板田5亩），展示区130亩，辐射区1000亩，按照节约资源、节本增效高产优质的原则，采取核心示范区免费提供化肥，展示区和辐射区提供技术指导，集成推广高产栽培技术等技物结合的方式。经州农业农村局粮食生产项目及技术指导专家组田间复测，奔子栏镇叶央村核心区单产513公斤/亩，展示区单产486公斤/亩，辐射区单产464公斤/亩，平均单产487公斤/亩；佛山乡江坡村核心区单产554公斤/亩，展示区单产488公斤/亩，辐射区单产463公斤/亩，平均单产501公斤/亩。奔子栏镇叶央村进行田间技术指导50人次，技术培训50人次；佛山乡江坡村进行田间技术指导70人次，技术培训50人次。</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白芸豆绿色高产创建项目。在德钦县云岭乡红坡村开展白芸豆高产创建示范1片，实施核心区面积120亩（含高产攻关样板田5亩），展示区130亩，辐射区1000亩，按照节约资源、节本增效高产优质的原则，采取核心示范区免费提供化肥，展示区和辐射区提供技术指导，集成推广高产栽培技术等技物结合的方式。经州农业农村局粮食生产项目及技术指导专家组田间复测，核心区单产212公斤/亩，展示区单产208公斤/亩，辐射区单产195公斤/亩，平均单产为205公斤/亩。进行田间技术指导50人次，技术培训50人次。</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以上5片绿色高质高效创建示范项目均已通过专家组验收合格。</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7、</w:t>
      </w:r>
      <w:r>
        <w:rPr>
          <w:rFonts w:hint="eastAsia" w:ascii="仿宋_GB2312" w:hAnsi="楷体" w:eastAsia="仿宋_GB2312" w:cs="Times New Roman"/>
          <w:sz w:val="32"/>
          <w:szCs w:val="32"/>
        </w:rPr>
        <w:t>开展农作物品种展示示范，强化示范带动</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为确保引种安全性，扩大优良品种覆盖率，加速科技成果转化，实现粮食增产，农民增收，根据云南省种子管理站2019年工作要求，结合我州实际，我站及时制定《迪庆州种子管理站2019年云南省农作物新品种展示示范项目实施方案》，积极开展我州农作物新品种展示示范工作，加大新品种宣传推广力度，促进高原特色农业发展。项目实施地点位于德钦县云岭乡果念村果念、佳碧村民小组，项目建设地点位置优越，自然生态条件好，水源充足、土壤肥力较好，基础设施相对完善，有一定的生产能力和生产经验，具备代表性和生产条件。展示玉米新品种10个：胜玉6号、广玉99、云瑞668、尚玉3899、大玉108、广玉6号、辽单527、陵玉987、雅玉891、纪元8号，每个品种种植0.5亩，共计5亩。示范玉米2个品种：云瑞7号、长城799，每个品种示范50亩，共计100亩。</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lang w:val="en-US" w:eastAsia="zh-CN"/>
        </w:rPr>
        <w:t>8、</w:t>
      </w:r>
      <w:r>
        <w:rPr>
          <w:rFonts w:hint="eastAsia" w:ascii="仿宋_GB2312" w:hAnsi="楷体" w:eastAsia="仿宋_GB2312" w:cs="Times New Roman"/>
          <w:sz w:val="32"/>
          <w:szCs w:val="32"/>
        </w:rPr>
        <w:t>加强种业信息统计，提高决策依据能力</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楷体" w:eastAsia="仿宋_GB2312" w:cs="Times New Roman"/>
          <w:sz w:val="32"/>
          <w:szCs w:val="32"/>
        </w:rPr>
      </w:pPr>
      <w:r>
        <w:rPr>
          <w:rFonts w:hint="eastAsia" w:ascii="仿宋_GB2312" w:hAnsi="楷体" w:eastAsia="仿宋_GB2312" w:cs="Times New Roman"/>
          <w:sz w:val="32"/>
          <w:szCs w:val="32"/>
        </w:rPr>
        <w:t>根据云南省种子管理站种业信息统计工作要求，严格按照时间节点，对全州种业信息工作进行了认真、及时、准确的采集、统计汇总，及时上报《种业基础信息统计表》、《云南省主要农作物良种推广面积统计表》、《农作物种子供需形势分析调度》和其他需要临时调度的种业信息情况、种子市场观察点监督指导情况。为行业管理、宏观指导、产业服务和政府决策提供重要依据。我州2019年主要农作物种子供需稳定，杂交玉米播种面积28.59万亩、小麦播种面积5.29万亩、水稻播种面积3.69万亩，马铃薯播种面积8.45万亩、大麦播种面积8.8万亩、油菜种植2.9万亩、豆类种植1.4万亩。2019年我州良种推广面积总计59.12万亩，全州农作物种植面积64万亩，良种推广覆盖率达到92%。</w:t>
      </w:r>
    </w:p>
    <w:p>
      <w:pPr>
        <w:topLinePunct/>
        <w:spacing w:line="520" w:lineRule="exact"/>
        <w:ind w:firstLine="800" w:firstLineChars="250"/>
        <w:rPr>
          <w:rFonts w:ascii="黑体" w:hAnsi="黑体" w:eastAsia="黑体"/>
          <w:sz w:val="32"/>
          <w:szCs w:val="32"/>
        </w:rPr>
      </w:pPr>
      <w:r>
        <w:rPr>
          <w:rFonts w:hint="eastAsia" w:ascii="黑体" w:hAnsi="黑体" w:eastAsia="黑体"/>
          <w:sz w:val="32"/>
          <w:szCs w:val="32"/>
        </w:rPr>
        <w:t>三、评价思路和过程</w:t>
      </w:r>
    </w:p>
    <w:p>
      <w:p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（一）评价思路：</w:t>
      </w:r>
    </w:p>
    <w:p>
      <w:pPr>
        <w:topLinePunct/>
        <w:spacing w:line="520" w:lineRule="exact"/>
        <w:ind w:firstLine="800" w:firstLineChars="250"/>
        <w:rPr>
          <w:rFonts w:ascii="仿宋_GB2312" w:hAnsi="楷体" w:eastAsia="仿宋_GB2312"/>
          <w:sz w:val="32"/>
          <w:szCs w:val="32"/>
        </w:rPr>
      </w:pPr>
      <w:r>
        <w:rPr>
          <w:rFonts w:hint="eastAsia" w:ascii="仿宋_GB2312" w:hAnsi="楷体" w:eastAsia="仿宋_GB2312"/>
          <w:sz w:val="32"/>
          <w:szCs w:val="32"/>
        </w:rPr>
        <w:t>确认当年度部门整体支出的绩效目标→梳理部门内部管理制度及存量资源→分析确定当年度部门整体支出的评价重点→构建绩效评价指标体系。</w:t>
      </w:r>
    </w:p>
    <w:p>
      <w:pPr>
        <w:numPr>
          <w:ilvl w:val="0"/>
          <w:numId w:val="6"/>
        </w:numPr>
        <w:adjustRightInd w:val="0"/>
        <w:spacing w:line="520" w:lineRule="exact"/>
        <w:ind w:left="0" w:leftChars="0" w:firstLine="800" w:firstLineChars="250"/>
        <w:rPr>
          <w:rFonts w:ascii="仿宋_GB2312" w:eastAsia="仿宋_GB2312"/>
          <w:sz w:val="32"/>
          <w:szCs w:val="32"/>
        </w:rPr>
      </w:pPr>
      <w:r>
        <w:rPr>
          <w:rFonts w:hint="eastAsia" w:ascii="楷体" w:hAnsi="楷体" w:eastAsia="楷体"/>
          <w:sz w:val="32"/>
          <w:szCs w:val="32"/>
        </w:rPr>
        <w:t>评价目的。</w:t>
      </w:r>
      <w:r>
        <w:rPr>
          <w:rFonts w:hint="eastAsia" w:ascii="仿宋_GB2312" w:eastAsia="仿宋_GB2312" w:cs="仿宋_GB2312"/>
          <w:color w:val="000000"/>
          <w:kern w:val="0"/>
          <w:sz w:val="32"/>
          <w:szCs w:val="32"/>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p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（三）评价依据。</w:t>
      </w:r>
    </w:p>
    <w:p>
      <w:pPr>
        <w:keepNext w:val="0"/>
        <w:keepLines w:val="0"/>
        <w:pageBreakBefore w:val="0"/>
        <w:widowControl w:val="0"/>
        <w:kinsoku/>
        <w:wordWrap/>
        <w:overflowPunct/>
        <w:autoSpaceDE/>
        <w:autoSpaceDN/>
        <w:bidi w:val="0"/>
        <w:adjustRightInd w:val="0"/>
        <w:snapToGrid/>
        <w:spacing w:line="520" w:lineRule="exact"/>
        <w:ind w:firstLine="640" w:firstLineChars="200"/>
        <w:textAlignment w:val="auto"/>
        <w:rPr>
          <w:rFonts w:hint="eastAsia"/>
          <w:sz w:val="32"/>
          <w:szCs w:val="32"/>
        </w:rPr>
      </w:pPr>
      <w:r>
        <w:rPr>
          <w:rFonts w:hint="eastAsia" w:ascii="仿宋_GB2312" w:eastAsia="仿宋_GB2312" w:cs="仿宋_GB2312"/>
          <w:color w:val="000000"/>
          <w:kern w:val="0"/>
          <w:sz w:val="32"/>
          <w:szCs w:val="32"/>
        </w:rPr>
        <w:t>《关于印发〈201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年度政府</w:t>
      </w:r>
      <w:r>
        <w:rPr>
          <w:rFonts w:hint="eastAsia" w:ascii="仿宋_GB2312" w:eastAsia="仿宋_GB2312" w:cs="仿宋_GB2312"/>
          <w:color w:val="000000"/>
          <w:kern w:val="0"/>
          <w:sz w:val="32"/>
          <w:szCs w:val="32"/>
          <w:lang w:eastAsia="zh-CN"/>
        </w:rPr>
        <w:t>部门</w:t>
      </w:r>
      <w:r>
        <w:rPr>
          <w:rFonts w:hint="eastAsia" w:ascii="仿宋_GB2312" w:eastAsia="仿宋_GB2312" w:cs="仿宋_GB2312"/>
          <w:color w:val="000000"/>
          <w:kern w:val="0"/>
          <w:sz w:val="32"/>
          <w:szCs w:val="32"/>
        </w:rPr>
        <w:t>目标督查管理工作目标及考核办法〉的通知》（迪目督办发〔201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6</w:t>
      </w:r>
      <w:r>
        <w:rPr>
          <w:rFonts w:hint="eastAsia" w:ascii="仿宋_GB2312" w:eastAsia="仿宋_GB2312" w:cs="仿宋_GB2312"/>
          <w:color w:val="000000"/>
          <w:kern w:val="0"/>
          <w:sz w:val="32"/>
          <w:szCs w:val="32"/>
        </w:rPr>
        <w:t>号）、</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迪庆藏族自治州人民政府</w:t>
      </w:r>
      <w:r>
        <w:rPr>
          <w:rFonts w:hint="eastAsia" w:ascii="仿宋_GB2312" w:eastAsia="仿宋_GB2312" w:cs="仿宋_GB2312"/>
          <w:color w:val="000000"/>
          <w:kern w:val="0"/>
          <w:sz w:val="32"/>
          <w:szCs w:val="32"/>
          <w:lang w:eastAsia="zh-CN"/>
        </w:rPr>
        <w:t>办公室</w:t>
      </w:r>
      <w:r>
        <w:rPr>
          <w:rFonts w:hint="eastAsia" w:ascii="仿宋_GB2312" w:eastAsia="仿宋_GB2312" w:cs="仿宋_GB2312"/>
          <w:color w:val="000000"/>
          <w:kern w:val="0"/>
          <w:sz w:val="32"/>
          <w:szCs w:val="32"/>
        </w:rPr>
        <w:t>关于印发201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年州级重点建设项目计划及责任分解方案的通知</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迪政办发〔</w:t>
      </w:r>
      <w:r>
        <w:rPr>
          <w:rFonts w:hint="eastAsia" w:ascii="仿宋_GB2312" w:eastAsia="仿宋_GB2312" w:cs="仿宋_GB2312"/>
          <w:color w:val="000000"/>
          <w:kern w:val="0"/>
          <w:sz w:val="32"/>
          <w:szCs w:val="32"/>
          <w:lang w:val="en-US" w:eastAsia="zh-CN"/>
        </w:rPr>
        <w:t>2019</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13</w:t>
      </w:r>
      <w:r>
        <w:rPr>
          <w:rFonts w:hint="eastAsia" w:ascii="仿宋_GB2312" w:eastAsia="仿宋_GB2312" w:cs="仿宋_GB2312"/>
          <w:color w:val="000000"/>
          <w:kern w:val="0"/>
          <w:sz w:val="32"/>
          <w:szCs w:val="32"/>
        </w:rPr>
        <w:t>号</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迪庆藏族自治州人民政府办公室关于印发2019年政府工作报告重点工作分解的通知</w:t>
      </w:r>
      <w:r>
        <w:rPr>
          <w:rFonts w:hint="eastAsia" w:ascii="仿宋_GB2312" w:eastAsia="仿宋_GB2312" w:cs="仿宋_GB2312"/>
          <w:color w:val="000000"/>
          <w:kern w:val="0"/>
          <w:sz w:val="32"/>
          <w:szCs w:val="32"/>
          <w:lang w:eastAsia="zh-CN"/>
        </w:rPr>
        <w:t>》</w:t>
      </w:r>
      <w:bookmarkStart w:id="0" w:name="doc_mark"/>
      <w:r>
        <w:rPr>
          <w:rFonts w:hint="eastAsia" w:ascii="仿宋_GB2312" w:eastAsia="仿宋_GB2312" w:cs="仿宋_GB2312"/>
          <w:color w:val="000000"/>
          <w:kern w:val="0"/>
          <w:sz w:val="32"/>
          <w:szCs w:val="32"/>
          <w:lang w:eastAsia="zh-CN"/>
        </w:rPr>
        <w:t>（迪政办发〔2019〕14号</w:t>
      </w:r>
      <w:bookmarkEnd w:id="0"/>
      <w:r>
        <w:rPr>
          <w:rFonts w:hint="eastAsia" w:ascii="仿宋_GB2312" w:eastAsia="仿宋_GB2312" w:cs="仿宋_GB2312"/>
          <w:color w:val="000000"/>
          <w:kern w:val="0"/>
          <w:sz w:val="32"/>
          <w:szCs w:val="32"/>
          <w:lang w:eastAsia="zh-CN"/>
        </w:rPr>
        <w:t>）等文件要求对迪庆州种子管理站绩效目标是否完成进行评价。</w:t>
      </w:r>
    </w:p>
    <w:p>
      <w:pPr>
        <w:numPr>
          <w:ilvl w:val="0"/>
          <w:numId w:val="7"/>
        </w:numPr>
        <w:topLinePunct/>
        <w:spacing w:line="520" w:lineRule="exact"/>
        <w:ind w:firstLine="800" w:firstLineChars="250"/>
        <w:rPr>
          <w:rFonts w:hint="eastAsia" w:ascii="楷体" w:hAnsi="楷体" w:eastAsia="楷体"/>
          <w:sz w:val="32"/>
          <w:szCs w:val="32"/>
        </w:rPr>
      </w:pPr>
      <w:r>
        <w:rPr>
          <w:rFonts w:hint="eastAsia" w:ascii="楷体" w:hAnsi="楷体" w:eastAsia="楷体"/>
          <w:sz w:val="32"/>
          <w:szCs w:val="32"/>
        </w:rPr>
        <w:t>评价对象及评价时段。</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楷体" w:hAnsi="楷体" w:eastAsia="楷体"/>
          <w:sz w:val="32"/>
          <w:szCs w:val="32"/>
          <w:lang w:eastAsia="zh-CN"/>
        </w:rPr>
      </w:pPr>
      <w:r>
        <w:rPr>
          <w:rFonts w:hint="eastAsia" w:ascii="楷体" w:hAnsi="楷体" w:eastAsia="楷体"/>
          <w:sz w:val="32"/>
          <w:szCs w:val="32"/>
          <w:lang w:eastAsia="zh-CN"/>
        </w:rPr>
        <w:t>评价对象：迪庆藏族自治州种子管理站</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sz w:val="32"/>
          <w:szCs w:val="32"/>
        </w:rPr>
      </w:pPr>
      <w:r>
        <w:rPr>
          <w:rFonts w:hint="eastAsia" w:ascii="楷体" w:hAnsi="楷体" w:eastAsia="楷体"/>
          <w:sz w:val="32"/>
          <w:szCs w:val="32"/>
          <w:lang w:eastAsia="zh-CN"/>
        </w:rPr>
        <w:t>评价时段：</w:t>
      </w:r>
      <w:r>
        <w:rPr>
          <w:rFonts w:hint="eastAsia" w:ascii="楷体" w:hAnsi="楷体" w:eastAsia="楷体"/>
          <w:sz w:val="32"/>
          <w:szCs w:val="32"/>
          <w:lang w:val="en-US" w:eastAsia="zh-CN"/>
        </w:rPr>
        <w:t>2020年5月</w:t>
      </w:r>
    </w:p>
    <w:p>
      <w:pPr>
        <w:topLinePunct/>
        <w:spacing w:line="520" w:lineRule="exact"/>
        <w:ind w:firstLine="800" w:firstLineChars="250"/>
        <w:rPr>
          <w:rFonts w:ascii="黑体" w:hAnsi="黑体" w:eastAsia="黑体"/>
          <w:sz w:val="32"/>
          <w:szCs w:val="32"/>
        </w:rPr>
      </w:pPr>
      <w:r>
        <w:rPr>
          <w:rFonts w:hint="eastAsia" w:ascii="黑体" w:hAnsi="黑体" w:eastAsia="黑体"/>
          <w:sz w:val="32"/>
          <w:szCs w:val="32"/>
        </w:rPr>
        <w:t>四、评价结论和绩效分析</w:t>
      </w:r>
    </w:p>
    <w:p>
      <w:pPr>
        <w:topLinePunct/>
        <w:spacing w:line="520" w:lineRule="exact"/>
        <w:ind w:firstLine="800" w:firstLineChars="250"/>
        <w:rPr>
          <w:rFonts w:ascii="楷体" w:hAnsi="楷体" w:eastAsia="楷体"/>
          <w:sz w:val="32"/>
          <w:szCs w:val="32"/>
        </w:rPr>
      </w:pPr>
      <w:r>
        <w:rPr>
          <w:rFonts w:hint="eastAsia" w:ascii="楷体" w:hAnsi="楷体" w:eastAsia="楷体"/>
          <w:sz w:val="32"/>
          <w:szCs w:val="32"/>
        </w:rPr>
        <w:t>（一）评价结论。</w:t>
      </w:r>
    </w:p>
    <w:p>
      <w:pPr>
        <w:topLinePunct/>
        <w:spacing w:line="520" w:lineRule="exact"/>
        <w:ind w:firstLine="800" w:firstLineChars="250"/>
        <w:rPr>
          <w:rFonts w:hint="eastAsia" w:ascii="仿宋" w:hAnsi="仿宋" w:eastAsia="仿宋"/>
          <w:sz w:val="32"/>
          <w:szCs w:val="32"/>
        </w:rPr>
      </w:pPr>
      <w:r>
        <w:rPr>
          <w:rFonts w:hint="eastAsia" w:ascii="仿宋" w:hAnsi="仿宋" w:eastAsia="仿宋"/>
          <w:sz w:val="32"/>
          <w:szCs w:val="32"/>
        </w:rPr>
        <w:t>1.评价结果。</w:t>
      </w:r>
    </w:p>
    <w:p>
      <w:pPr>
        <w:adjustRightInd w:val="0"/>
        <w:spacing w:line="520" w:lineRule="exact"/>
        <w:ind w:firstLine="640" w:firstLineChars="200"/>
        <w:rPr>
          <w:rFonts w:hint="eastAsia" w:ascii="仿宋" w:hAnsi="仿宋" w:eastAsia="仿宋"/>
          <w:sz w:val="32"/>
          <w:szCs w:val="32"/>
        </w:rPr>
      </w:pPr>
      <w:r>
        <w:rPr>
          <w:rFonts w:hint="eastAsia" w:ascii="仿宋_GB2312" w:eastAsia="仿宋_GB2312" w:cs="仿宋_GB2312"/>
          <w:color w:val="000000"/>
          <w:kern w:val="0"/>
          <w:sz w:val="32"/>
          <w:szCs w:val="32"/>
        </w:rPr>
        <w:t>根据《云南省对下专项转移支付绩效目标管理暂行办法》（云财预〔2016〕5号）、《云南省财政厅关于印发云南省省级部门财政支出绩效自评暂行办法的通知》（云财预〔2016〕98），我站落实了项目具体负责人，各个组室明确分工，制定了项目相关的管理制度，通过加强对项目立项、项目技术方案的审查，强化对项目承担人员业务、技术及财务管理等措施，圆满完成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w:t>
      </w:r>
      <w:r>
        <w:rPr>
          <w:rFonts w:hint="eastAsia" w:ascii="仿宋_GB2312" w:eastAsia="仿宋_GB2312" w:cs="仿宋_GB2312"/>
          <w:color w:val="000000"/>
          <w:kern w:val="0"/>
          <w:sz w:val="32"/>
          <w:szCs w:val="32"/>
          <w:lang w:eastAsia="zh-CN"/>
        </w:rPr>
        <w:t>州</w:t>
      </w:r>
      <w:r>
        <w:rPr>
          <w:rFonts w:hint="eastAsia" w:ascii="仿宋_GB2312" w:eastAsia="仿宋_GB2312" w:cs="仿宋_GB2312"/>
          <w:color w:val="000000"/>
          <w:kern w:val="0"/>
          <w:sz w:val="32"/>
          <w:szCs w:val="32"/>
        </w:rPr>
        <w:t>级财政资金各项工作目标，保证了201</w:t>
      </w:r>
      <w:r>
        <w:rPr>
          <w:rFonts w:hint="eastAsia" w:ascii="仿宋_GB2312" w:eastAsia="仿宋_GB2312" w:cs="仿宋_GB2312"/>
          <w:color w:val="000000"/>
          <w:kern w:val="0"/>
          <w:sz w:val="32"/>
          <w:szCs w:val="32"/>
          <w:lang w:val="en-US" w:eastAsia="zh-CN"/>
        </w:rPr>
        <w:t>9</w:t>
      </w:r>
      <w:r>
        <w:rPr>
          <w:rFonts w:hint="eastAsia" w:ascii="仿宋_GB2312" w:eastAsia="仿宋_GB2312" w:cs="仿宋_GB2312"/>
          <w:color w:val="000000"/>
          <w:kern w:val="0"/>
          <w:sz w:val="32"/>
          <w:szCs w:val="32"/>
        </w:rPr>
        <w:t>年度</w:t>
      </w:r>
      <w:r>
        <w:rPr>
          <w:rFonts w:hint="eastAsia" w:ascii="仿宋_GB2312" w:eastAsia="仿宋_GB2312" w:cs="仿宋_GB2312"/>
          <w:color w:val="000000"/>
          <w:kern w:val="0"/>
          <w:sz w:val="32"/>
          <w:szCs w:val="32"/>
          <w:lang w:eastAsia="zh-CN"/>
        </w:rPr>
        <w:t>高产创建</w:t>
      </w:r>
      <w:r>
        <w:rPr>
          <w:rFonts w:hint="eastAsia" w:ascii="仿宋_GB2312" w:eastAsia="仿宋_GB2312" w:cs="仿宋_GB2312"/>
          <w:color w:val="000000"/>
          <w:kern w:val="0"/>
          <w:sz w:val="32"/>
          <w:szCs w:val="32"/>
        </w:rPr>
        <w:t>项目</w:t>
      </w:r>
      <w:r>
        <w:rPr>
          <w:rFonts w:hint="eastAsia" w:ascii="仿宋_GB2312" w:eastAsia="仿宋_GB2312" w:cs="仿宋_GB2312"/>
          <w:color w:val="000000"/>
          <w:kern w:val="0"/>
          <w:sz w:val="32"/>
          <w:szCs w:val="32"/>
          <w:lang w:eastAsia="zh-CN"/>
        </w:rPr>
        <w:t>和种子市场监管</w:t>
      </w:r>
      <w:r>
        <w:rPr>
          <w:rFonts w:hint="eastAsia" w:ascii="仿宋_GB2312" w:eastAsia="仿宋_GB2312" w:cs="仿宋_GB2312"/>
          <w:color w:val="000000"/>
          <w:kern w:val="0"/>
          <w:sz w:val="32"/>
          <w:szCs w:val="32"/>
        </w:rPr>
        <w:t>的顺利实施，取得了良好效益。</w:t>
      </w:r>
    </w:p>
    <w:p>
      <w:pPr>
        <w:numPr>
          <w:ilvl w:val="0"/>
          <w:numId w:val="8"/>
        </w:numPr>
        <w:topLinePunct/>
        <w:spacing w:line="520" w:lineRule="exact"/>
        <w:ind w:firstLine="800" w:firstLineChars="250"/>
        <w:rPr>
          <w:rFonts w:hint="eastAsia" w:ascii="仿宋" w:hAnsi="仿宋" w:eastAsia="仿宋"/>
          <w:sz w:val="32"/>
          <w:szCs w:val="32"/>
        </w:rPr>
      </w:pPr>
      <w:r>
        <w:rPr>
          <w:rFonts w:hint="eastAsia" w:ascii="仿宋" w:hAnsi="仿宋" w:eastAsia="仿宋"/>
          <w:sz w:val="32"/>
          <w:szCs w:val="32"/>
        </w:rPr>
        <w:t>主要绩效。</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切实增强</w:t>
      </w:r>
      <w:r>
        <w:rPr>
          <w:rFonts w:hint="eastAsia" w:ascii="仿宋" w:hAnsi="仿宋" w:eastAsia="仿宋" w:cs="Times New Roman"/>
          <w:sz w:val="32"/>
          <w:szCs w:val="32"/>
          <w:lang w:eastAsia="zh-CN"/>
        </w:rPr>
        <w:t>了</w:t>
      </w:r>
      <w:r>
        <w:rPr>
          <w:rFonts w:hint="eastAsia" w:ascii="仿宋" w:hAnsi="仿宋" w:eastAsia="仿宋" w:cs="Times New Roman"/>
          <w:sz w:val="32"/>
          <w:szCs w:val="32"/>
        </w:rPr>
        <w:t>工作积极性和责任感。绩效评价是对项目实施、管理工作的有效检验，反映了业务工作开展水平和工作成效。我站要以绩效评价为契机，总结经验，查找问题，完善机制，着力加强资金管理，强化督导与监管，全面提升项目管理能力，带动产业发展。</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认真抓好整改落实。针对绩效考评中发现的问题，要高度重视，切实增强工作责任感，加强项目监督管理，细化工作目标，落实工作责任。</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切实强化资金管理。要严格按照规定用途使用资金，确保资金使用安全、规范。进一步完善财务管理，做到账目清楚、规范，坚决杜绝截留、挤占、挪用、套取资金等违法、违纪行为。</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w:t>
      </w:r>
      <w:r>
        <w:rPr>
          <w:rFonts w:hint="eastAsia" w:ascii="仿宋" w:hAnsi="仿宋" w:eastAsia="仿宋" w:cs="Times New Roman"/>
          <w:sz w:val="32"/>
          <w:szCs w:val="32"/>
        </w:rPr>
        <w:t>认真贯彻执行《会计法》，维护财经纪律，加强财务管理，搞好会计核算。</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管理本单位经费以及其他有关专项业务经费，制定本单位的财务管理办法和实施细则，并组织实施。编报单位预算，审查核定年度预算，做好相关资金的综合统筹平衡工作。</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按照《会计法》的要求，认真做好记账、算账，做到手续完备、内容真实、数字准确、账目清楚；日清月结，按期报账。</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按照有关财务制度规定，严格执行财务计划和预算，节约开支，考核资金使用效果，充分利用财务数据，客观、真实地对预算执行情况、财务报表数据进行分析，及时为领导提供准确数据。</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按照会计档案管理制度，负责记账凭证、账簿、报表等会计资料的立卷、建档工作。</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组织本单位及系统财务人员，学习国家财政法规制度和现代化财务管理。</w:t>
      </w:r>
    </w:p>
    <w:p>
      <w:pPr>
        <w:topLinePunct/>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接受并配合审计、财政、税务等部门的监督检查；做好本单位财务公开，接受社会监督。</w:t>
      </w:r>
    </w:p>
    <w:p>
      <w:pPr>
        <w:topLinePunct/>
        <w:spacing w:line="520" w:lineRule="exact"/>
        <w:ind w:firstLine="800" w:firstLineChars="250"/>
        <w:rPr>
          <w:rFonts w:hint="eastAsia" w:ascii="黑体" w:hAnsi="黑体" w:eastAsia="黑体"/>
          <w:sz w:val="32"/>
          <w:szCs w:val="32"/>
        </w:rPr>
      </w:pPr>
      <w:r>
        <w:rPr>
          <w:rFonts w:hint="eastAsia" w:ascii="黑体" w:hAnsi="黑体" w:eastAsia="黑体"/>
          <w:sz w:val="32"/>
          <w:szCs w:val="32"/>
        </w:rPr>
        <w:t>五、主要经验做法</w:t>
      </w:r>
    </w:p>
    <w:p>
      <w:pPr>
        <w:topLinePunct/>
        <w:spacing w:line="520" w:lineRule="exact"/>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按照计划阶段所制定的标准，对成本形成过程中耗费的各项费用进行指导、限制和监督，对于出现的偏离标准的差错及时采取措施予以纠正，使实际成本的各项费用支出或劳动耗费在规定标准范围之内，以保证项目实施降低成本的目标。为了确保项目顺利完成，项目成本(预算) 控制尤为关键，尤其是对财政支出部分控制严格，其中主要支出在品种引进、试验材料、展示示范推广专用业务费方面。</w:t>
      </w:r>
    </w:p>
    <w:p>
      <w:pPr>
        <w:numPr>
          <w:ilvl w:val="0"/>
          <w:numId w:val="9"/>
        </w:numPr>
        <w:topLinePunct/>
        <w:spacing w:line="520" w:lineRule="exact"/>
        <w:ind w:firstLine="800" w:firstLineChars="250"/>
        <w:rPr>
          <w:rFonts w:hint="eastAsia" w:ascii="黑体" w:hAnsi="黑体" w:eastAsia="黑体"/>
          <w:sz w:val="32"/>
          <w:szCs w:val="32"/>
        </w:rPr>
      </w:pPr>
      <w:r>
        <w:rPr>
          <w:rFonts w:hint="eastAsia" w:ascii="黑体" w:hAnsi="黑体" w:eastAsia="黑体"/>
          <w:sz w:val="32"/>
          <w:szCs w:val="32"/>
        </w:rPr>
        <w:t>存在的问题</w:t>
      </w:r>
    </w:p>
    <w:p>
      <w:pPr>
        <w:topLinePunct/>
        <w:spacing w:line="520" w:lineRule="exact"/>
        <w:ind w:firstLine="800" w:firstLineChars="25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项目资金下达时间晚，项目经费投入力度不够，加大投入力度，要把实施经费、种子执法体系建设、监督检查体系建设、种子质量检测体系建设经费落到实处，搞好经营门店监管、样品抽取和检测；以引种、展示和示范为切入点，加大主导品种的宣传推广力度，帮助农民选择良种，大力发扬优良品种对农业生产的基础作用。</w:t>
      </w:r>
    </w:p>
    <w:p>
      <w:pPr>
        <w:topLinePunct/>
        <w:spacing w:line="520" w:lineRule="exact"/>
        <w:ind w:firstLine="800" w:firstLineChars="250"/>
        <w:rPr>
          <w:rFonts w:hint="eastAsia" w:ascii="黑体" w:hAnsi="黑体" w:eastAsia="黑体"/>
          <w:sz w:val="32"/>
          <w:szCs w:val="32"/>
        </w:rPr>
      </w:pPr>
      <w:r>
        <w:rPr>
          <w:rFonts w:hint="eastAsia" w:ascii="黑体" w:hAnsi="黑体" w:eastAsia="黑体"/>
          <w:sz w:val="32"/>
          <w:szCs w:val="32"/>
        </w:rPr>
        <w:t>七、改进措施及建议</w:t>
      </w:r>
    </w:p>
    <w:p>
      <w:pPr>
        <w:keepNext w:val="0"/>
        <w:keepLines w:val="0"/>
        <w:pageBreakBefore w:val="0"/>
        <w:widowControl w:val="0"/>
        <w:kinsoku/>
        <w:wordWrap/>
        <w:overflowPunct/>
        <w:topLinePunct w:val="0"/>
        <w:autoSpaceDE/>
        <w:autoSpaceDN/>
        <w:bidi w:val="0"/>
        <w:adjustRightInd/>
        <w:snapToGrid/>
        <w:spacing w:line="520" w:lineRule="exact"/>
        <w:ind w:left="0" w:firstLine="960" w:firstLineChars="300"/>
        <w:jc w:val="left"/>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我单位</w:t>
      </w:r>
      <w:r>
        <w:rPr>
          <w:rFonts w:hint="eastAsia" w:ascii="仿宋_GB2312" w:hAnsi="仿宋" w:eastAsia="仿宋_GB2312" w:cs="Times New Roman"/>
          <w:sz w:val="32"/>
          <w:szCs w:val="32"/>
        </w:rPr>
        <w:t>属于公益性服务事业</w:t>
      </w:r>
      <w:r>
        <w:rPr>
          <w:rFonts w:hint="eastAsia" w:ascii="仿宋_GB2312" w:hAnsi="仿宋" w:eastAsia="仿宋_GB2312" w:cs="Times New Roman"/>
          <w:sz w:val="32"/>
          <w:szCs w:val="32"/>
          <w:lang w:eastAsia="zh-CN"/>
        </w:rPr>
        <w:t>单位</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所有资金与项目应早谋划、及早下达项目资金，科学、合理的制定项目实施方案。</w:t>
      </w:r>
      <w:r>
        <w:rPr>
          <w:rFonts w:hint="eastAsia" w:ascii="仿宋_GB2312" w:hAnsi="仿宋" w:eastAsia="仿宋_GB2312" w:cs="Times New Roman"/>
          <w:sz w:val="32"/>
          <w:szCs w:val="32"/>
        </w:rPr>
        <w:t>通过项目实施，严厉打击侵犯品种权和制售假劣种子等违法行为，维护公平竞争市场环境，保障迪庆种业健康发展；强化了种子市场监管支撑能力建设，提高种子检测技术能力和水平，完善监管长效机制；满足多样化的农业生产用种需求，有利于粮食生产的稳定发展，确保粮食安全；有利于推进农业结构调整，增加农民收入</w:t>
      </w:r>
      <w:r>
        <w:rPr>
          <w:rFonts w:hint="eastAsia" w:ascii="仿宋_GB2312" w:hAnsi="仿宋" w:eastAsia="仿宋_GB2312" w:cs="Times New Roman"/>
          <w:sz w:val="32"/>
          <w:szCs w:val="32"/>
          <w:lang w:eastAsia="zh-CN"/>
        </w:rPr>
        <w:t>。</w:t>
      </w:r>
    </w:p>
    <w:p>
      <w:pPr>
        <w:pStyle w:val="2"/>
        <w:rPr>
          <w:rFonts w:hint="eastAsia" w:ascii="仿宋_GB2312" w:hAnsi="仿宋" w:eastAsia="仿宋_GB2312" w:cs="Times New Roman"/>
          <w:sz w:val="32"/>
          <w:szCs w:val="32"/>
          <w:lang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rPr>
          <w:rFonts w:hint="default" w:ascii="仿宋_GB2312" w:hAnsi="仿宋" w:eastAsia="仿宋_GB2312" w:cs="Times New Roman"/>
          <w:sz w:val="32"/>
          <w:szCs w:val="32"/>
          <w:lang w:val="en-US" w:eastAsia="zh-CN"/>
        </w:rPr>
      </w:pPr>
    </w:p>
    <w:p>
      <w:pPr>
        <w:pStyle w:val="2"/>
        <w:ind w:left="0" w:leftChars="0" w:firstLine="0" w:firstLineChars="0"/>
        <w:jc w:val="right"/>
        <w:rPr>
          <w:rFonts w:hint="eastAsia" w:ascii="仿宋_GB2312" w:hAnsi="仿宋" w:eastAsia="仿宋_GB2312" w:cs="Times New Roman"/>
          <w:sz w:val="32"/>
          <w:szCs w:val="32"/>
          <w:lang w:val="en-US" w:eastAsia="zh-CN"/>
        </w:rPr>
      </w:pPr>
      <w:bookmarkStart w:id="1" w:name="_GoBack"/>
      <w:r>
        <w:rPr>
          <w:rFonts w:hint="eastAsia" w:ascii="仿宋_GB2312" w:hAnsi="仿宋" w:eastAsia="仿宋_GB2312" w:cs="Times New Roman"/>
          <w:sz w:val="32"/>
          <w:szCs w:val="32"/>
          <w:lang w:val="en-US" w:eastAsia="zh-CN"/>
        </w:rPr>
        <w:t>迪庆州种子管理站</w:t>
      </w:r>
    </w:p>
    <w:p>
      <w:pPr>
        <w:pStyle w:val="2"/>
        <w:ind w:left="0" w:leftChars="0" w:firstLine="0" w:firstLineChars="0"/>
        <w:jc w:val="right"/>
        <w:rPr>
          <w:rFonts w:hint="default" w:ascii="仿宋_GB2312" w:hAnsi="仿宋" w:eastAsia="仿宋_GB2312" w:cs="Times New Roman"/>
          <w:sz w:val="32"/>
          <w:szCs w:val="32"/>
          <w:lang w:val="en-US" w:eastAsia="zh-CN"/>
        </w:rPr>
        <w:sectPr>
          <w:footerReference r:id="rId4" w:type="default"/>
          <w:pgSz w:w="11906" w:h="16838"/>
          <w:pgMar w:top="1191" w:right="1531" w:bottom="1191" w:left="1531" w:header="851" w:footer="454" w:gutter="0"/>
          <w:cols w:space="720" w:num="1"/>
          <w:docGrid w:type="lines" w:linePitch="312" w:charSpace="0"/>
        </w:sectPr>
      </w:pPr>
      <w:r>
        <w:rPr>
          <w:rFonts w:hint="eastAsia" w:ascii="仿宋_GB2312" w:hAnsi="仿宋" w:eastAsia="仿宋_GB2312" w:cs="Times New Roman"/>
          <w:sz w:val="32"/>
          <w:szCs w:val="32"/>
          <w:lang w:val="en-US" w:eastAsia="zh-CN"/>
        </w:rPr>
        <w:t>2020年5月28日</w:t>
      </w:r>
    </w:p>
    <w:bookmarkEnd w:id="1"/>
    <w:p>
      <w:pPr>
        <w:rPr>
          <w:rFonts w:hint="eastAsia" w:eastAsia="宋体"/>
          <w:sz w:val="32"/>
          <w:szCs w:val="32"/>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仿宋_GB2312" w:eastAsia="仿宋_GB2312"/>
        <w:sz w:val="21"/>
        <w:szCs w:val="21"/>
      </w:rPr>
      <w:t>—</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9</w:t>
    </w:r>
    <w:r>
      <w:rPr>
        <w:rFonts w:hint="eastAsia" w:ascii="仿宋_GB2312" w:eastAsia="仿宋_GB2312"/>
        <w:sz w:val="21"/>
        <w:szCs w:val="21"/>
      </w:rPr>
      <w:fldChar w:fldCharType="end"/>
    </w:r>
    <w:r>
      <w:rPr>
        <w:rFonts w:hint="eastAsia" w:ascii="仿宋_GB2312" w:eastAsia="仿宋_GB2312"/>
        <w:sz w:val="21"/>
        <w:szCs w:val="21"/>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仿宋_GB2312" w:eastAsia="仿宋_GB2312"/>
        <w:sz w:val="21"/>
        <w:szCs w:val="21"/>
      </w:rPr>
      <w:t>—</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9</w:t>
    </w:r>
    <w:r>
      <w:rPr>
        <w:rFonts w:hint="eastAsia" w:ascii="仿宋_GB2312" w:eastAsia="仿宋_GB2312"/>
        <w:sz w:val="21"/>
        <w:szCs w:val="21"/>
      </w:rPr>
      <w:fldChar w:fldCharType="end"/>
    </w:r>
    <w:r>
      <w:rPr>
        <w:rFonts w:hint="eastAsia" w:ascii="仿宋_GB2312" w:eastAsia="仿宋_GB2312"/>
        <w:sz w:val="21"/>
        <w:szCs w:val="21"/>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B78E"/>
    <w:multiLevelType w:val="singleLevel"/>
    <w:tmpl w:val="9199B78E"/>
    <w:lvl w:ilvl="0" w:tentative="0">
      <w:start w:val="6"/>
      <w:numFmt w:val="chineseCounting"/>
      <w:suff w:val="nothing"/>
      <w:lvlText w:val="%1、"/>
      <w:lvlJc w:val="left"/>
      <w:rPr>
        <w:rFonts w:hint="eastAsia"/>
      </w:rPr>
    </w:lvl>
  </w:abstractNum>
  <w:abstractNum w:abstractNumId="1">
    <w:nsid w:val="9428E020"/>
    <w:multiLevelType w:val="singleLevel"/>
    <w:tmpl w:val="9428E020"/>
    <w:lvl w:ilvl="0" w:tentative="0">
      <w:start w:val="3"/>
      <w:numFmt w:val="decimal"/>
      <w:suff w:val="nothing"/>
      <w:lvlText w:val="%1、"/>
      <w:lvlJc w:val="left"/>
    </w:lvl>
  </w:abstractNum>
  <w:abstractNum w:abstractNumId="2">
    <w:nsid w:val="A22BD75D"/>
    <w:multiLevelType w:val="singleLevel"/>
    <w:tmpl w:val="A22BD75D"/>
    <w:lvl w:ilvl="0" w:tentative="0">
      <w:start w:val="1"/>
      <w:numFmt w:val="decimal"/>
      <w:suff w:val="nothing"/>
      <w:lvlText w:val="%1、"/>
      <w:lvlJc w:val="left"/>
    </w:lvl>
  </w:abstractNum>
  <w:abstractNum w:abstractNumId="3">
    <w:nsid w:val="18920394"/>
    <w:multiLevelType w:val="singleLevel"/>
    <w:tmpl w:val="18920394"/>
    <w:lvl w:ilvl="0" w:tentative="0">
      <w:start w:val="1"/>
      <w:numFmt w:val="chineseCounting"/>
      <w:suff w:val="nothing"/>
      <w:lvlText w:val="%1、"/>
      <w:lvlJc w:val="left"/>
      <w:rPr>
        <w:rFonts w:hint="eastAsia"/>
      </w:rPr>
    </w:lvl>
  </w:abstractNum>
  <w:abstractNum w:abstractNumId="4">
    <w:nsid w:val="23D95073"/>
    <w:multiLevelType w:val="singleLevel"/>
    <w:tmpl w:val="23D95073"/>
    <w:lvl w:ilvl="0" w:tentative="0">
      <w:start w:val="4"/>
      <w:numFmt w:val="chineseCounting"/>
      <w:suff w:val="nothing"/>
      <w:lvlText w:val="（%1）"/>
      <w:lvlJc w:val="left"/>
      <w:rPr>
        <w:rFonts w:hint="eastAsia"/>
      </w:rPr>
    </w:lvl>
  </w:abstractNum>
  <w:abstractNum w:abstractNumId="5">
    <w:nsid w:val="38D0DF42"/>
    <w:multiLevelType w:val="singleLevel"/>
    <w:tmpl w:val="38D0DF42"/>
    <w:lvl w:ilvl="0" w:tentative="0">
      <w:start w:val="2"/>
      <w:numFmt w:val="chineseCounting"/>
      <w:suff w:val="nothing"/>
      <w:lvlText w:val="（%1）"/>
      <w:lvlJc w:val="left"/>
      <w:rPr>
        <w:rFonts w:hint="eastAsia"/>
      </w:rPr>
    </w:lvl>
  </w:abstractNum>
  <w:abstractNum w:abstractNumId="6">
    <w:nsid w:val="3B1CE361"/>
    <w:multiLevelType w:val="singleLevel"/>
    <w:tmpl w:val="3B1CE361"/>
    <w:lvl w:ilvl="0" w:tentative="0">
      <w:start w:val="2"/>
      <w:numFmt w:val="decimal"/>
      <w:lvlText w:val="%1."/>
      <w:lvlJc w:val="left"/>
      <w:pPr>
        <w:tabs>
          <w:tab w:val="left" w:pos="312"/>
        </w:tabs>
      </w:pPr>
    </w:lvl>
  </w:abstractNum>
  <w:abstractNum w:abstractNumId="7">
    <w:nsid w:val="405CBA8B"/>
    <w:multiLevelType w:val="singleLevel"/>
    <w:tmpl w:val="405CBA8B"/>
    <w:lvl w:ilvl="0" w:tentative="0">
      <w:start w:val="2"/>
      <w:numFmt w:val="decimal"/>
      <w:lvlText w:val="%1."/>
      <w:lvlJc w:val="left"/>
      <w:pPr>
        <w:tabs>
          <w:tab w:val="left" w:pos="312"/>
        </w:tabs>
      </w:pPr>
    </w:lvl>
  </w:abstractNum>
  <w:abstractNum w:abstractNumId="8">
    <w:nsid w:val="6B31C9FD"/>
    <w:multiLevelType w:val="singleLevel"/>
    <w:tmpl w:val="6B31C9FD"/>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6"/>
  </w:num>
  <w:num w:numId="5">
    <w:abstractNumId w:val="5"/>
  </w:num>
  <w:num w:numId="6">
    <w:abstractNumId w:val="8"/>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A5"/>
    <w:rsid w:val="004239A6"/>
    <w:rsid w:val="00554C1C"/>
    <w:rsid w:val="005E64E0"/>
    <w:rsid w:val="00825EA5"/>
    <w:rsid w:val="00955772"/>
    <w:rsid w:val="00D822B8"/>
    <w:rsid w:val="00DC57B3"/>
    <w:rsid w:val="00E71ED4"/>
    <w:rsid w:val="08206B90"/>
    <w:rsid w:val="10BE6777"/>
    <w:rsid w:val="117E0121"/>
    <w:rsid w:val="2D5172C4"/>
    <w:rsid w:val="2F7B2703"/>
    <w:rsid w:val="310D1414"/>
    <w:rsid w:val="315A38DB"/>
    <w:rsid w:val="32E91915"/>
    <w:rsid w:val="35A12924"/>
    <w:rsid w:val="3AC10ACB"/>
    <w:rsid w:val="3E461724"/>
    <w:rsid w:val="40553BFB"/>
    <w:rsid w:val="419721E8"/>
    <w:rsid w:val="43AC1E56"/>
    <w:rsid w:val="453D0074"/>
    <w:rsid w:val="51463AF9"/>
    <w:rsid w:val="539039A5"/>
    <w:rsid w:val="53DB6229"/>
    <w:rsid w:val="563741EC"/>
    <w:rsid w:val="569F0C54"/>
    <w:rsid w:val="630848C9"/>
    <w:rsid w:val="66060E74"/>
    <w:rsid w:val="6AE76659"/>
    <w:rsid w:val="6CA71FCA"/>
    <w:rsid w:val="71CA14EC"/>
    <w:rsid w:val="725A424D"/>
    <w:rsid w:val="7958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Normal Indent1"/>
    <w:basedOn w:val="1"/>
    <w:uiPriority w:val="0"/>
    <w:pPr>
      <w:ind w:firstLine="420" w:firstLineChars="200"/>
    </w:pPr>
  </w:style>
  <w:style w:type="paragraph" w:styleId="4">
    <w:name w:val="footer"/>
    <w:basedOn w:val="1"/>
    <w:link w:val="7"/>
    <w:unhideWhenUsed/>
    <w:uiPriority w:val="99"/>
    <w:pPr>
      <w:tabs>
        <w:tab w:val="center" w:pos="4153"/>
        <w:tab w:val="right" w:pos="8306"/>
      </w:tabs>
      <w:snapToGrid w:val="0"/>
      <w:jc w:val="left"/>
    </w:pPr>
    <w:rPr>
      <w:sz w:val="18"/>
      <w:szCs w:val="18"/>
    </w:rPr>
  </w:style>
  <w:style w:type="character" w:customStyle="1" w:styleId="7">
    <w:name w:val="页脚 Char"/>
    <w:basedOn w:val="6"/>
    <w:link w:val="4"/>
    <w:uiPriority w:val="99"/>
    <w:rPr>
      <w:rFonts w:ascii="Calibri" w:hAnsi="Calibri" w:eastAsia="宋体" w:cs="Times New Roman"/>
      <w:sz w:val="18"/>
      <w:szCs w:val="18"/>
    </w:rPr>
  </w:style>
  <w:style w:type="paragraph" w:customStyle="1" w:styleId="8">
    <w:name w:val="TOC 标题1"/>
    <w:basedOn w:val="3"/>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10">
    <w:name w:val="标题 1 Char"/>
    <w:basedOn w:val="6"/>
    <w:link w:val="3"/>
    <w:uiPriority w:val="9"/>
    <w:rPr>
      <w:rFonts w:ascii="Calibri" w:hAnsi="Calibri" w:eastAsia="宋体" w:cs="Times New Roman"/>
      <w:b/>
      <w:bCs/>
      <w:kern w:val="44"/>
      <w:sz w:val="44"/>
      <w:szCs w:val="44"/>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font11"/>
    <w:basedOn w:val="6"/>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229</Words>
  <Characters>1307</Characters>
  <Lines>10</Lines>
  <Paragraphs>3</Paragraphs>
  <TotalTime>18</TotalTime>
  <ScaleCrop>false</ScaleCrop>
  <LinksUpToDate>false</LinksUpToDate>
  <CharactersWithSpaces>1533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2019-07-23T09:12:00Z</dcterms:created>
  <dc:creator>Yuanjun</dc:creator>
  <cp:lastModifiedBy>陈二娣</cp:lastModifiedBy>
  <cp:lastPrinted>2020-05-29T02:35:45Z</cp:lastPrinted>
  <dcterms:modified xsi:type="dcterms:W3CDTF">2020-05-29T02:38:42Z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