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迪庆藏族自治州审计局</w:t>
      </w:r>
    </w:p>
    <w:p>
      <w:pPr>
        <w:rPr>
          <w:rFonts w:ascii="Times New Roman" w:hAnsi="Times New Roman" w:cs="Times New Roman"/>
        </w:rPr>
      </w:pPr>
    </w:p>
    <w:p>
      <w:pPr>
        <w:jc w:val="center"/>
        <w:rPr>
          <w:rFonts w:ascii="Times New Roman" w:hAnsi="Times New Roman" w:eastAsia="方正小标宋_GBK" w:cs="Times New Roman"/>
          <w:color w:val="FF0000"/>
          <w:sz w:val="84"/>
          <w:szCs w:val="84"/>
        </w:rPr>
      </w:pPr>
      <w:r>
        <w:rPr>
          <w:rFonts w:ascii="Times New Roman" w:hAnsi="Times New Roman" w:eastAsia="方正小标宋_GBK" w:cs="Times New Roman"/>
          <w:color w:val="FF0000"/>
          <w:sz w:val="84"/>
          <w:szCs w:val="84"/>
        </w:rPr>
        <w:t>审计结果公告</w:t>
      </w:r>
    </w:p>
    <w:p>
      <w:pPr>
        <w:jc w:val="center"/>
        <w:rPr>
          <w:rFonts w:ascii="Times New Roman" w:hAnsi="Times New Roman" w:cs="Times New Roman"/>
          <w:b/>
          <w:sz w:val="36"/>
          <w:szCs w:val="36"/>
        </w:rPr>
      </w:pPr>
      <w:r>
        <w:rPr>
          <w:rFonts w:ascii="Times New Roman" w:hAnsi="Times New Roman" w:cs="Times New Roman"/>
          <w:b/>
          <w:sz w:val="36"/>
          <w:szCs w:val="36"/>
        </w:rPr>
        <w:t>DIQING ZANGZU ZIZHIZHOU SHENJIJU</w:t>
      </w:r>
    </w:p>
    <w:p>
      <w:pPr>
        <w:jc w:val="center"/>
        <w:rPr>
          <w:rFonts w:ascii="Times New Roman" w:hAnsi="Times New Roman" w:cs="Times New Roman"/>
          <w:b/>
          <w:sz w:val="36"/>
          <w:szCs w:val="36"/>
        </w:rPr>
      </w:pPr>
      <w:r>
        <w:rPr>
          <w:rFonts w:ascii="Times New Roman" w:hAnsi="Times New Roman" w:cs="Times New Roman"/>
          <w:b/>
          <w:sz w:val="36"/>
          <w:szCs w:val="36"/>
        </w:rPr>
        <w:t>SHENJI JIEGUO GONGGAO</w:t>
      </w:r>
    </w:p>
    <w:p>
      <w:pPr>
        <w:jc w:val="center"/>
        <w:rPr>
          <w:rFonts w:ascii="Times New Roman" w:hAnsi="Times New Roman" w:eastAsia="方正小标宋_GBK" w:cs="Times New Roman"/>
          <w:szCs w:val="32"/>
        </w:rPr>
      </w:pPr>
      <w:r>
        <w:rPr>
          <w:rFonts w:ascii="Times New Roman" w:hAnsi="Times New Roman" w:eastAsia="方正小标宋_GBK" w:cs="Times New Roman"/>
          <w:szCs w:val="32"/>
        </w:rPr>
        <w:t>2020年第2号</w:t>
      </w:r>
    </w:p>
    <w:p>
      <w:pPr>
        <w:jc w:val="center"/>
        <w:rPr>
          <w:rFonts w:ascii="Times New Roman" w:hAnsi="Times New Roman" w:eastAsia="方正小标宋_GBK" w:cs="Times New Roman"/>
          <w:sz w:val="28"/>
          <w:szCs w:val="28"/>
        </w:rPr>
      </w:pPr>
      <w:r>
        <w:rPr>
          <w:rFonts w:ascii="Times New Roman" w:hAnsi="Times New Roman" w:eastAsia="方正小标宋_GBK" w:cs="Times New Roman"/>
          <w:sz w:val="28"/>
          <w:szCs w:val="28"/>
        </w:rPr>
        <w:t>（总第85号）</w:t>
      </w:r>
    </w:p>
    <w:p>
      <w:pPr>
        <w:jc w:val="center"/>
        <w:rPr>
          <w:rFonts w:ascii="Times New Roman" w:hAnsi="Times New Roman" w:eastAsia="新宋体" w:cs="Times New Roman"/>
          <w:b/>
          <w:sz w:val="36"/>
          <w:szCs w:val="36"/>
        </w:rPr>
      </w:pPr>
    </w:p>
    <w:p>
      <w:pPr>
        <w:jc w:val="center"/>
        <w:rPr>
          <w:rFonts w:ascii="Times New Roman" w:hAnsi="Times New Roman" w:eastAsia="新宋体" w:cs="Times New Roman"/>
          <w:b/>
          <w:sz w:val="36"/>
          <w:szCs w:val="36"/>
        </w:rPr>
      </w:pPr>
    </w:p>
    <w:p>
      <w:pPr>
        <w:jc w:val="center"/>
        <w:rPr>
          <w:rFonts w:ascii="Times New Roman" w:hAnsi="Times New Roman" w:eastAsia="新宋体" w:cs="Times New Roman"/>
          <w:b/>
          <w:sz w:val="36"/>
          <w:szCs w:val="36"/>
        </w:rPr>
      </w:pPr>
    </w:p>
    <w:p>
      <w:pPr>
        <w:jc w:val="center"/>
        <w:rPr>
          <w:rFonts w:ascii="Times New Roman" w:hAnsi="Times New Roman" w:eastAsia="新宋体" w:cs="Times New Roman"/>
          <w:b/>
          <w:sz w:val="36"/>
          <w:szCs w:val="36"/>
        </w:rPr>
      </w:pPr>
    </w:p>
    <w:p>
      <w:pPr>
        <w:jc w:val="center"/>
        <w:rPr>
          <w:rFonts w:ascii="Times New Roman" w:hAnsi="Times New Roman" w:eastAsia="新宋体" w:cs="Times New Roman"/>
          <w:b/>
          <w:sz w:val="36"/>
          <w:szCs w:val="36"/>
        </w:rPr>
      </w:pPr>
    </w:p>
    <w:p>
      <w:pPr>
        <w:jc w:val="center"/>
        <w:rPr>
          <w:rFonts w:ascii="Times New Roman" w:hAnsi="Times New Roman" w:eastAsia="新宋体" w:cs="Times New Roman"/>
          <w:b/>
          <w:sz w:val="36"/>
          <w:szCs w:val="36"/>
        </w:rPr>
      </w:pPr>
    </w:p>
    <w:p>
      <w:pPr>
        <w:jc w:val="center"/>
        <w:rPr>
          <w:rFonts w:ascii="Times New Roman" w:hAnsi="Times New Roman" w:eastAsia="新宋体" w:cs="Times New Roman"/>
          <w:b/>
          <w:sz w:val="36"/>
          <w:szCs w:val="36"/>
        </w:rPr>
      </w:pPr>
    </w:p>
    <w:p>
      <w:pPr>
        <w:rPr>
          <w:rFonts w:ascii="Times New Roman" w:hAnsi="Times New Roman" w:eastAsia="新宋体" w:cs="Times New Roman"/>
          <w:b/>
          <w:sz w:val="36"/>
          <w:szCs w:val="36"/>
        </w:rPr>
      </w:pPr>
    </w:p>
    <w:p>
      <w:pPr>
        <w:jc w:val="center"/>
        <w:rPr>
          <w:rFonts w:ascii="Times New Roman" w:hAnsi="Times New Roman" w:eastAsia="新宋体" w:cs="Times New Roman"/>
          <w:b/>
          <w:sz w:val="36"/>
          <w:szCs w:val="36"/>
        </w:rPr>
      </w:pPr>
    </w:p>
    <w:p>
      <w:pPr>
        <w:jc w:val="center"/>
        <w:rPr>
          <w:rFonts w:ascii="Times New Roman" w:hAnsi="Times New Roman" w:eastAsia="新宋体" w:cs="Times New Roman"/>
          <w:b/>
          <w:sz w:val="36"/>
          <w:szCs w:val="36"/>
        </w:rPr>
      </w:pPr>
    </w:p>
    <w:p>
      <w:pPr>
        <w:jc w:val="center"/>
        <w:rPr>
          <w:rFonts w:ascii="Times New Roman" w:hAnsi="Times New Roman" w:eastAsia="黑体" w:cs="Times New Roman"/>
          <w:sz w:val="32"/>
          <w:szCs w:val="32"/>
        </w:rPr>
      </w:pPr>
      <w:r>
        <w:rPr>
          <w:rFonts w:ascii="Times New Roman" w:hAnsi="黑体" w:eastAsia="黑体" w:cs="Times New Roman"/>
          <w:sz w:val="32"/>
          <w:szCs w:val="32"/>
        </w:rPr>
        <w:t>迪庆州审计局办公室</w:t>
      </w:r>
    </w:p>
    <w:p>
      <w:pPr>
        <w:widowControl/>
        <w:jc w:val="left"/>
        <w:rPr>
          <w:rFonts w:ascii="Times New Roman" w:hAnsi="Times New Roman" w:eastAsia="黑体" w:cs="Times New Roman"/>
          <w:szCs w:val="32"/>
        </w:rPr>
        <w:sectPr>
          <w:pgSz w:w="11906" w:h="16838"/>
          <w:pgMar w:top="2098" w:right="1554" w:bottom="1985" w:left="1531" w:header="1418" w:footer="1418" w:gutter="0"/>
          <w:pgNumType w:fmt="decimal" w:start="1" w:chapStyle="2"/>
          <w:cols w:space="720" w:num="1"/>
          <w:docGrid w:type="linesAndChars" w:linePitch="289" w:charSpace="0"/>
        </w:sectPr>
      </w:pPr>
    </w:p>
    <w:p>
      <w:pPr>
        <w:ind w:firstLine="160" w:firstLineChars="50"/>
        <w:rPr>
          <w:rFonts w:ascii="Times New Roman" w:hAnsi="Times New Roman" w:eastAsia="新宋体" w:cs="Times New Roman"/>
          <w:b/>
          <w:sz w:val="36"/>
          <w:szCs w:val="36"/>
        </w:rPr>
      </w:pPr>
      <w:bookmarkStart w:id="2" w:name="_GoBack"/>
      <w:bookmarkEnd w:id="2"/>
      <w:r>
        <w:rPr>
          <w:rFonts w:ascii="Times New Roman" w:hAnsi="Times New Roman" w:eastAsia="仿宋_GB2312" w:cs="Times New Roman"/>
          <w:sz w:val="32"/>
          <w:szCs w:val="20"/>
        </w:rPr>
        <w:pict>
          <v:shape id="文本框 6" o:spid="_x0000_s2050" o:spt="202" type="#_x0000_t202" style="position:absolute;left:0pt;margin-left:-5.35pt;margin-top:-53.75pt;height:57.8pt;width:465.75pt;z-index:251660288;mso-width-relative:page;mso-height-relative:page;" stroked="t" coordsize="21600,21600">
            <v:path/>
            <v:fill focussize="0,0"/>
            <v:stroke color="#FFFFFF" joinstyle="miter"/>
            <v:imagedata o:title=""/>
            <o:lock v:ext="edit"/>
            <v:textbox>
              <w:txbxContent>
                <w:p>
                  <w:pPr>
                    <w:rPr>
                      <w:sz w:val="44"/>
                      <w:szCs w:val="44"/>
                    </w:rPr>
                  </w:pPr>
                </w:p>
                <w:p>
                  <w:pPr>
                    <w:jc w:val="center"/>
                    <w:rPr>
                      <w:rFonts w:ascii="方正仿宋_GBK" w:hAnsi="宋体" w:eastAsia="方正仿宋_GBK"/>
                      <w:szCs w:val="32"/>
                    </w:rPr>
                  </w:pPr>
                </w:p>
                <w:p>
                  <w:pPr>
                    <w:jc w:val="center"/>
                    <w:rPr>
                      <w:rFonts w:ascii="方正仿宋_GBK" w:hAnsi="宋体" w:eastAsia="方正仿宋_GBK"/>
                      <w:szCs w:val="32"/>
                    </w:rPr>
                  </w:pPr>
                  <w:r>
                    <w:rPr>
                      <w:rFonts w:hint="eastAsia" w:ascii="方正仿宋_GBK" w:hAnsi="宋体" w:eastAsia="方正仿宋_GBK"/>
                      <w:szCs w:val="32"/>
                    </w:rPr>
                    <w:t>2014年第5号（总第57号）</w:t>
                  </w:r>
                </w:p>
                <w:p>
                  <w:pPr>
                    <w:jc w:val="center"/>
                    <w:rPr>
                      <w:rFonts w:ascii="方正仿宋_GBK" w:hAnsi="宋体" w:eastAsia="方正仿宋_GBK"/>
                      <w:szCs w:val="32"/>
                    </w:rPr>
                  </w:pPr>
                  <w:r>
                    <w:rPr>
                      <w:rFonts w:hint="eastAsia" w:ascii="方正仿宋_GBK" w:hAnsi="宋体" w:eastAsia="方正仿宋_GBK"/>
                      <w:szCs w:val="32"/>
                    </w:rPr>
                    <w:t>（二Ｏ一四年六月月日公告）</w:t>
                  </w:r>
                </w:p>
                <w:p/>
              </w:txbxContent>
            </v:textbox>
          </v:shape>
        </w:pict>
      </w:r>
      <w:r>
        <w:rPr>
          <w:rFonts w:ascii="Times New Roman" w:hAnsi="Times New Roman" w:cs="Times New Roman"/>
          <w:sz w:val="28"/>
          <w:szCs w:val="28"/>
          <w:u w:val="single"/>
        </w:rPr>
        <w:br w:type="page"/>
      </w:r>
      <w:r>
        <w:rPr>
          <w:rFonts w:ascii="Times New Roman" w:hAnsi="Times New Roman" w:eastAsia="仿宋_GB2312" w:cs="Times New Roman"/>
          <w:sz w:val="32"/>
          <w:szCs w:val="20"/>
        </w:rPr>
        <w:pict>
          <v:shape id="文本框 5" o:spid="_x0000_s2051" o:spt="202" type="#_x0000_t202" style="position:absolute;left:0pt;margin-left:-11.5pt;margin-top:-57.8pt;height:57.8pt;width:465.75pt;z-index:251661312;mso-width-relative:page;mso-height-relative:page;" stroked="t" coordsize="21600,21600">
            <v:path/>
            <v:fill focussize="0,0"/>
            <v:stroke color="#FFFFFF" joinstyle="miter"/>
            <v:imagedata o:title=""/>
            <o:lock v:ext="edit"/>
            <v:textbox>
              <w:txbxContent>
                <w:p/>
              </w:txbxContent>
            </v:textbox>
          </v:shape>
        </w:pict>
      </w:r>
      <w:r>
        <w:rPr>
          <w:rFonts w:ascii="Times New Roman" w:hAnsi="Times New Roman" w:eastAsia="仿宋_GB2312" w:cs="Times New Roman"/>
          <w:sz w:val="32"/>
          <w:szCs w:val="20"/>
        </w:rPr>
        <w:pict>
          <v:shape id="文本框 2" o:spid="_x0000_s2052" o:spt="202" type="#_x0000_t202" style="position:absolute;left:0pt;margin-left:-17.25pt;margin-top:-28.9pt;height:14.45pt;width:471.5pt;z-index:251662336;mso-width-relative:page;mso-height-relative:page;" stroked="t" coordsize="21600,21600">
            <v:path/>
            <v:fill focussize="0,0"/>
            <v:stroke color="#FFFFFF" joinstyle="miter"/>
            <v:imagedata o:title=""/>
            <o:lock v:ext="edit"/>
            <v:textbox>
              <w:txbxContent>
                <w:p/>
              </w:txbxContent>
            </v:textbox>
          </v:shape>
        </w:pict>
      </w:r>
      <w:r>
        <w:rPr>
          <w:rFonts w:ascii="Times New Roman" w:hAnsi="Times New Roman" w:cs="Times New Roman"/>
          <w:sz w:val="28"/>
          <w:szCs w:val="28"/>
          <w:u w:val="single"/>
        </w:rPr>
        <w:t xml:space="preserve">                  </w:t>
      </w:r>
      <w:r>
        <w:rPr>
          <w:rFonts w:ascii="Times New Roman" w:hAnsi="Times New Roman" w:cs="Times New Roman"/>
          <w:b/>
          <w:sz w:val="28"/>
          <w:szCs w:val="28"/>
          <w:u w:val="single"/>
        </w:rPr>
        <w:t xml:space="preserve">            </w:t>
      </w:r>
      <w:r>
        <w:rPr>
          <w:rFonts w:ascii="Times New Roman" w:hAnsi="Times New Roman" w:eastAsia="黑体" w:cs="Times New Roman"/>
          <w:b/>
          <w:sz w:val="24"/>
          <w:u w:val="single"/>
        </w:rPr>
        <w:t>2020</w:t>
      </w:r>
      <w:r>
        <w:rPr>
          <w:rFonts w:ascii="Times New Roman" w:hAnsi="黑体" w:eastAsia="黑体" w:cs="Times New Roman"/>
          <w:b/>
          <w:sz w:val="24"/>
          <w:u w:val="single"/>
        </w:rPr>
        <w:t>年第</w:t>
      </w:r>
      <w:r>
        <w:rPr>
          <w:rFonts w:ascii="Times New Roman" w:hAnsi="Times New Roman" w:eastAsia="黑体" w:cs="Times New Roman"/>
          <w:b/>
          <w:sz w:val="24"/>
          <w:u w:val="single"/>
        </w:rPr>
        <w:t>2</w:t>
      </w:r>
      <w:r>
        <w:rPr>
          <w:rFonts w:ascii="Times New Roman" w:hAnsi="黑体" w:eastAsia="黑体" w:cs="Times New Roman"/>
          <w:b/>
          <w:sz w:val="24"/>
          <w:u w:val="single"/>
        </w:rPr>
        <w:t>号（总第</w:t>
      </w:r>
      <w:r>
        <w:rPr>
          <w:rFonts w:ascii="Times New Roman" w:hAnsi="Times New Roman" w:eastAsia="黑体" w:cs="Times New Roman"/>
          <w:b/>
          <w:sz w:val="24"/>
          <w:u w:val="single"/>
        </w:rPr>
        <w:t>85</w:t>
      </w:r>
      <w:r>
        <w:rPr>
          <w:rFonts w:ascii="Times New Roman" w:hAnsi="黑体" w:eastAsia="黑体" w:cs="Times New Roman"/>
          <w:b/>
          <w:sz w:val="24"/>
          <w:u w:val="single"/>
        </w:rPr>
        <w:t>号）</w:t>
      </w:r>
      <w:r>
        <w:rPr>
          <w:rFonts w:ascii="Times New Roman" w:hAnsi="Times New Roman" w:eastAsia="黑体" w:cs="Times New Roman"/>
          <w:b/>
          <w:sz w:val="24"/>
          <w:u w:val="single"/>
        </w:rPr>
        <w:t xml:space="preserve"> </w:t>
      </w:r>
      <w:r>
        <w:rPr>
          <w:rFonts w:ascii="Times New Roman" w:hAnsi="Times New Roman" w:eastAsia="方正小标宋_GBK" w:cs="Times New Roman"/>
          <w:sz w:val="44"/>
          <w:szCs w:val="44"/>
          <w:u w:val="single"/>
        </w:rPr>
        <w:t xml:space="preserve">目录    </w:t>
      </w:r>
    </w:p>
    <w:p>
      <w:pPr>
        <w:rPr>
          <w:rFonts w:ascii="Times New Roman" w:hAnsi="Times New Roman" w:eastAsia="方正小标宋_GBK" w:cs="Times New Roman"/>
          <w:sz w:val="24"/>
        </w:rPr>
      </w:pPr>
      <w:r>
        <w:rPr>
          <w:rFonts w:ascii="Times New Roman" w:hAnsi="Times New Roman" w:eastAsia="方正小标宋_GBK" w:cs="Times New Roman"/>
          <w:w w:val="93"/>
          <w:sz w:val="24"/>
        </w:rPr>
        <w:t>2.</w:t>
      </w:r>
      <w:r>
        <w:rPr>
          <w:rFonts w:ascii="Times New Roman" w:hAnsi="Times New Roman" w:eastAsia="方正小标宋_GBK" w:cs="Times New Roman"/>
          <w:sz w:val="24"/>
        </w:rPr>
        <w:t xml:space="preserve"> 2019年投资审计结果公告</w:t>
      </w:r>
    </w:p>
    <w:p>
      <w:pPr>
        <w:spacing w:line="560" w:lineRule="exact"/>
        <w:rPr>
          <w:rFonts w:ascii="Times New Roman" w:hAnsi="Times New Roman" w:eastAsia="方正小标宋_GBK" w:cs="Times New Roman"/>
          <w:sz w:val="24"/>
        </w:rPr>
      </w:pPr>
    </w:p>
    <w:p>
      <w:pPr>
        <w:spacing w:line="560" w:lineRule="exact"/>
        <w:rPr>
          <w:rFonts w:ascii="Times New Roman" w:hAnsi="Times New Roman" w:eastAsia="方正小标宋_GBK" w:cs="Times New Roman"/>
          <w:sz w:val="24"/>
        </w:rPr>
      </w:pPr>
    </w:p>
    <w:p>
      <w:pPr>
        <w:ind w:firstLine="480" w:firstLineChars="200"/>
        <w:jc w:val="center"/>
        <w:rPr>
          <w:rFonts w:ascii="Times New Roman" w:hAnsi="Times New Roman" w:eastAsia="方正小标宋_GBK" w:cs="Times New Roman"/>
          <w:sz w:val="24"/>
        </w:rPr>
      </w:pPr>
    </w:p>
    <w:p>
      <w:pPr>
        <w:jc w:val="center"/>
        <w:rPr>
          <w:rFonts w:ascii="Times New Roman" w:hAnsi="Times New Roman" w:eastAsia="方正小标宋_GBK" w:cs="Times New Roman"/>
          <w:sz w:val="24"/>
        </w:rPr>
      </w:pPr>
    </w:p>
    <w:p>
      <w:pPr>
        <w:jc w:val="center"/>
        <w:rPr>
          <w:rFonts w:ascii="Times New Roman" w:hAnsi="Times New Roman" w:cs="Times New Roman"/>
          <w:sz w:val="24"/>
        </w:rPr>
      </w:pPr>
    </w:p>
    <w:p>
      <w:pPr>
        <w:spacing w:line="560" w:lineRule="exact"/>
        <w:ind w:left="1420"/>
        <w:rPr>
          <w:rFonts w:ascii="Times New Roman" w:hAnsi="Times New Roman" w:eastAsia="方正小标宋_GBK" w:cs="Times New Roman"/>
          <w:sz w:val="24"/>
        </w:rPr>
      </w:pPr>
    </w:p>
    <w:p>
      <w:pPr>
        <w:rPr>
          <w:rFonts w:ascii="Times New Roman" w:hAnsi="Times New Roman" w:eastAsia="黑体" w:cs="Times New Roman"/>
          <w:w w:val="95"/>
          <w:szCs w:val="32"/>
        </w:rPr>
      </w:pPr>
    </w:p>
    <w:p>
      <w:pPr>
        <w:ind w:left="160" w:leftChars="76" w:firstLine="525" w:firstLineChars="250"/>
        <w:rPr>
          <w:rFonts w:ascii="Times New Roman" w:hAnsi="Times New Roman" w:eastAsia="黑体" w:cs="Times New Roman"/>
          <w:szCs w:val="32"/>
        </w:rPr>
      </w:pPr>
    </w:p>
    <w:p>
      <w:pPr>
        <w:ind w:left="160" w:leftChars="76" w:firstLine="525" w:firstLineChars="250"/>
        <w:rPr>
          <w:rFonts w:ascii="Times New Roman" w:hAnsi="Times New Roman" w:eastAsia="黑体" w:cs="Times New Roman"/>
          <w:szCs w:val="32"/>
        </w:rPr>
      </w:pPr>
    </w:p>
    <w:p>
      <w:pPr>
        <w:ind w:left="160" w:leftChars="76" w:firstLine="525" w:firstLineChars="250"/>
        <w:rPr>
          <w:rFonts w:ascii="Times New Roman" w:hAnsi="Times New Roman" w:eastAsia="黑体" w:cs="Times New Roman"/>
          <w:szCs w:val="32"/>
        </w:rPr>
      </w:pPr>
    </w:p>
    <w:p>
      <w:pPr>
        <w:ind w:left="160" w:leftChars="76" w:firstLine="525" w:firstLineChars="250"/>
        <w:rPr>
          <w:rFonts w:ascii="Times New Roman" w:hAnsi="Times New Roman" w:eastAsia="黑体" w:cs="Times New Roman"/>
          <w:szCs w:val="32"/>
        </w:rPr>
      </w:pPr>
    </w:p>
    <w:p>
      <w:pPr>
        <w:ind w:left="160" w:leftChars="76" w:firstLine="525" w:firstLineChars="250"/>
        <w:rPr>
          <w:rFonts w:ascii="Times New Roman" w:hAnsi="Times New Roman" w:eastAsia="黑体" w:cs="Times New Roman"/>
          <w:szCs w:val="32"/>
        </w:rPr>
      </w:pPr>
    </w:p>
    <w:p>
      <w:pPr>
        <w:ind w:left="160" w:leftChars="76" w:firstLine="525" w:firstLineChars="250"/>
        <w:rPr>
          <w:rFonts w:ascii="Times New Roman" w:hAnsi="Times New Roman" w:eastAsia="黑体" w:cs="Times New Roman"/>
          <w:szCs w:val="32"/>
        </w:rPr>
      </w:pPr>
    </w:p>
    <w:p>
      <w:pPr>
        <w:ind w:left="160" w:leftChars="76" w:firstLine="525" w:firstLineChars="250"/>
        <w:rPr>
          <w:rFonts w:ascii="Times New Roman" w:hAnsi="Times New Roman" w:eastAsia="黑体" w:cs="Times New Roman"/>
          <w:szCs w:val="32"/>
        </w:rPr>
      </w:pPr>
    </w:p>
    <w:p>
      <w:pPr>
        <w:ind w:left="160" w:leftChars="76" w:firstLine="525" w:firstLineChars="250"/>
        <w:rPr>
          <w:rFonts w:ascii="Times New Roman" w:hAnsi="Times New Roman" w:eastAsia="黑体" w:cs="Times New Roman"/>
          <w:szCs w:val="32"/>
        </w:rPr>
      </w:pPr>
    </w:p>
    <w:p>
      <w:pPr>
        <w:ind w:left="160" w:leftChars="76" w:firstLine="525" w:firstLineChars="250"/>
        <w:rPr>
          <w:rFonts w:ascii="Times New Roman" w:hAnsi="Times New Roman" w:eastAsia="黑体" w:cs="Times New Roman"/>
          <w:szCs w:val="32"/>
        </w:rPr>
      </w:pPr>
    </w:p>
    <w:p>
      <w:pPr>
        <w:ind w:left="160" w:leftChars="76" w:firstLine="525" w:firstLineChars="250"/>
        <w:rPr>
          <w:rFonts w:ascii="Times New Roman" w:hAnsi="Times New Roman" w:eastAsia="黑体" w:cs="Times New Roman"/>
          <w:szCs w:val="32"/>
        </w:rPr>
      </w:pPr>
    </w:p>
    <w:p>
      <w:pPr>
        <w:ind w:left="160" w:leftChars="76" w:firstLine="525" w:firstLineChars="250"/>
        <w:rPr>
          <w:rFonts w:ascii="Times New Roman" w:hAnsi="Times New Roman" w:eastAsia="黑体" w:cs="Times New Roman"/>
          <w:szCs w:val="32"/>
        </w:rPr>
      </w:pPr>
    </w:p>
    <w:p>
      <w:pPr>
        <w:ind w:left="160" w:leftChars="76" w:firstLine="525" w:firstLineChars="250"/>
        <w:rPr>
          <w:rFonts w:ascii="Times New Roman" w:hAnsi="Times New Roman" w:eastAsia="黑体" w:cs="Times New Roman"/>
          <w:szCs w:val="32"/>
        </w:rPr>
      </w:pPr>
    </w:p>
    <w:p>
      <w:pPr>
        <w:rPr>
          <w:rFonts w:ascii="Times New Roman" w:hAnsi="Times New Roman" w:eastAsia="黑体" w:cs="Times New Roman"/>
          <w:szCs w:val="32"/>
        </w:rPr>
      </w:pPr>
    </w:p>
    <w:p>
      <w:pPr>
        <w:spacing w:line="560" w:lineRule="exact"/>
        <w:rPr>
          <w:rFonts w:ascii="Times New Roman" w:hAnsi="Times New Roman" w:eastAsia="方正小标宋_GBK" w:cs="Times New Roman"/>
          <w:sz w:val="44"/>
          <w:szCs w:val="44"/>
        </w:rPr>
      </w:pPr>
    </w:p>
    <w:p>
      <w:pPr>
        <w:jc w:val="center"/>
        <w:rPr>
          <w:rFonts w:ascii="Times New Roman" w:hAnsi="Times New Roman" w:eastAsia="方正小标宋_GBK" w:cs="Times New Roman"/>
          <w:sz w:val="44"/>
          <w:szCs w:val="44"/>
        </w:rPr>
      </w:pPr>
    </w:p>
    <w:p>
      <w:pPr>
        <w:jc w:val="center"/>
        <w:rPr>
          <w:rFonts w:ascii="Times New Roman" w:hAnsi="Times New Roman" w:eastAsia="方正小标宋_GBK" w:cs="Times New Roman"/>
          <w:sz w:val="44"/>
          <w:szCs w:val="44"/>
        </w:rPr>
      </w:pPr>
    </w:p>
    <w:p>
      <w:pPr>
        <w:jc w:val="center"/>
        <w:rPr>
          <w:rFonts w:ascii="Times New Roman" w:hAnsi="Times New Roman" w:eastAsia="方正小标宋_GBK" w:cs="Times New Roman"/>
          <w:sz w:val="44"/>
          <w:szCs w:val="44"/>
        </w:rPr>
      </w:pPr>
    </w:p>
    <w:p>
      <w:pPr>
        <w:jc w:val="center"/>
        <w:rPr>
          <w:rFonts w:hint="eastAsia" w:ascii="Times New Roman" w:hAnsi="Times New Roman" w:eastAsia="方正小标宋_GBK" w:cs="Times New Roman"/>
          <w:sz w:val="44"/>
          <w:szCs w:val="44"/>
        </w:rPr>
      </w:pPr>
    </w:p>
    <w:p>
      <w:pPr>
        <w:jc w:val="center"/>
        <w:rPr>
          <w:rFonts w:hint="eastAsia" w:ascii="Times New Roman" w:hAnsi="Times New Roman" w:eastAsia="方正小标宋_GBK" w:cs="Times New Roman"/>
          <w:sz w:val="44"/>
          <w:szCs w:val="44"/>
        </w:rPr>
      </w:pPr>
    </w:p>
    <w:p>
      <w:pPr>
        <w:jc w:val="center"/>
        <w:rPr>
          <w:rFonts w:hint="eastAsia" w:ascii="Times New Roman" w:hAnsi="Times New Roman" w:eastAsia="方正小标宋_GBK" w:cs="Times New Roman"/>
          <w:sz w:val="44"/>
          <w:szCs w:val="44"/>
        </w:rPr>
      </w:pPr>
    </w:p>
    <w:p>
      <w:pPr>
        <w:jc w:val="center"/>
        <w:rPr>
          <w:rFonts w:ascii="Times New Roman" w:hAnsi="Times New Roman" w:eastAsia="方正小标宋_GBK" w:cs="Times New Roman"/>
          <w:sz w:val="44"/>
          <w:szCs w:val="44"/>
        </w:rPr>
      </w:pPr>
    </w:p>
    <w:p>
      <w:pPr>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2019年投资审计结果公告</w:t>
      </w:r>
    </w:p>
    <w:p>
      <w:pPr>
        <w:pBdr>
          <w:bottom w:val="single" w:color="auto" w:sz="6" w:space="1"/>
        </w:pBdr>
        <w:rPr>
          <w:rFonts w:ascii="Times New Roman" w:hAnsi="Times New Roman" w:eastAsia="仿宋_GB2312" w:cs="Times New Roman"/>
          <w:sz w:val="32"/>
          <w:szCs w:val="32"/>
        </w:rPr>
      </w:pPr>
      <w:r>
        <w:rPr>
          <w:rFonts w:ascii="Times New Roman" w:hAnsi="Times New Roman" w:eastAsia="方正仿宋_GBK" w:cs="Times New Roman"/>
          <w:sz w:val="32"/>
          <w:szCs w:val="32"/>
        </w:rPr>
        <w:t xml:space="preserve">       </w:t>
      </w:r>
      <w:r>
        <w:rPr>
          <w:rFonts w:ascii="Times New Roman" w:hAnsi="Times New Roman" w:eastAsia="仿宋_GB2312" w:cs="Times New Roman"/>
          <w:sz w:val="32"/>
          <w:szCs w:val="32"/>
        </w:rPr>
        <w:t xml:space="preserve">      （二0二0年 月 日公告）   </w:t>
      </w:r>
    </w:p>
    <w:p>
      <w:pPr>
        <w:pBdr>
          <w:bottom w:val="single" w:color="auto" w:sz="6" w:space="1"/>
        </w:pBdr>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w:t>
      </w:r>
    </w:p>
    <w:p>
      <w:pPr>
        <w:spacing w:line="560" w:lineRule="exact"/>
        <w:ind w:firstLine="640" w:firstLineChars="200"/>
        <w:rPr>
          <w:rFonts w:ascii="Times New Roman" w:hAnsi="Times New Roman" w:eastAsia="方正仿宋_GBK" w:cs="Times New Roman"/>
          <w:sz w:val="32"/>
          <w:szCs w:val="32"/>
        </w:rPr>
      </w:pPr>
    </w:p>
    <w:p>
      <w:pPr>
        <w:spacing w:line="560" w:lineRule="exact"/>
        <w:ind w:firstLine="640" w:firstLineChars="200"/>
        <w:rPr>
          <w:rFonts w:ascii="Times New Roman" w:hAnsi="Times New Roman" w:eastAsia="方正仿宋_GBK" w:cs="Times New Roman"/>
          <w:sz w:val="32"/>
          <w:szCs w:val="32"/>
        </w:rPr>
      </w:pPr>
    </w:p>
    <w:p>
      <w:pPr>
        <w:spacing w:line="560" w:lineRule="exact"/>
        <w:ind w:firstLine="640" w:firstLineChars="200"/>
        <w:rPr>
          <w:rFonts w:ascii="Times New Roman" w:hAnsi="Times New Roman" w:eastAsia="方正仿宋_GBK" w:cs="Times New Roman"/>
          <w:sz w:val="32"/>
          <w:szCs w:val="32"/>
        </w:rPr>
      </w:pPr>
    </w:p>
    <w:p>
      <w:pPr>
        <w:spacing w:line="560" w:lineRule="exact"/>
        <w:ind w:firstLine="640" w:firstLineChars="200"/>
        <w:rPr>
          <w:rFonts w:ascii="Times New Roman" w:hAnsi="Times New Roman" w:eastAsia="方正仿宋_GBK" w:cs="Times New Roman"/>
          <w:sz w:val="32"/>
          <w:szCs w:val="32"/>
        </w:rPr>
      </w:pPr>
    </w:p>
    <w:p>
      <w:pPr>
        <w:spacing w:line="560" w:lineRule="exact"/>
        <w:ind w:firstLine="640" w:firstLineChars="200"/>
        <w:rPr>
          <w:rFonts w:ascii="Times New Roman" w:hAnsi="Times New Roman" w:eastAsia="方正仿宋_GBK" w:cs="Times New Roman"/>
          <w:sz w:val="32"/>
          <w:szCs w:val="32"/>
        </w:rPr>
      </w:pPr>
    </w:p>
    <w:p>
      <w:pPr>
        <w:spacing w:line="560" w:lineRule="exact"/>
        <w:ind w:firstLine="640" w:firstLineChars="200"/>
        <w:rPr>
          <w:rFonts w:ascii="Times New Roman" w:hAnsi="Times New Roman" w:eastAsia="方正仿宋_GBK" w:cs="Times New Roman"/>
          <w:sz w:val="32"/>
          <w:szCs w:val="32"/>
        </w:rPr>
      </w:pPr>
    </w:p>
    <w:p>
      <w:pPr>
        <w:spacing w:line="560" w:lineRule="exact"/>
        <w:ind w:firstLine="640" w:firstLineChars="200"/>
        <w:rPr>
          <w:rFonts w:ascii="Times New Roman" w:hAnsi="Times New Roman" w:eastAsia="方正仿宋_GBK" w:cs="Times New Roman"/>
          <w:sz w:val="32"/>
          <w:szCs w:val="32"/>
        </w:rPr>
      </w:pPr>
    </w:p>
    <w:p>
      <w:pPr>
        <w:spacing w:line="560" w:lineRule="exact"/>
        <w:ind w:firstLine="640" w:firstLineChars="200"/>
        <w:rPr>
          <w:rFonts w:ascii="Times New Roman" w:hAnsi="Times New Roman" w:eastAsia="方正仿宋_GBK" w:cs="Times New Roman"/>
          <w:sz w:val="32"/>
          <w:szCs w:val="32"/>
        </w:rPr>
      </w:pPr>
    </w:p>
    <w:p>
      <w:pPr>
        <w:spacing w:line="560" w:lineRule="exact"/>
        <w:ind w:firstLine="640" w:firstLineChars="200"/>
        <w:rPr>
          <w:rFonts w:ascii="Times New Roman" w:hAnsi="Times New Roman" w:eastAsia="方正仿宋_GBK" w:cs="Times New Roman"/>
          <w:sz w:val="32"/>
          <w:szCs w:val="32"/>
        </w:rPr>
      </w:pPr>
    </w:p>
    <w:p>
      <w:pPr>
        <w:spacing w:line="560" w:lineRule="exact"/>
        <w:ind w:firstLine="640" w:firstLineChars="200"/>
        <w:rPr>
          <w:rFonts w:ascii="Times New Roman" w:hAnsi="Times New Roman" w:eastAsia="方正仿宋_GBK" w:cs="Times New Roman"/>
          <w:sz w:val="32"/>
          <w:szCs w:val="32"/>
        </w:rPr>
      </w:pPr>
    </w:p>
    <w:p>
      <w:pPr>
        <w:spacing w:line="560" w:lineRule="exact"/>
        <w:ind w:firstLine="640" w:firstLineChars="200"/>
        <w:rPr>
          <w:rFonts w:ascii="Times New Roman" w:hAnsi="Times New Roman" w:eastAsia="方正仿宋_GBK" w:cs="Times New Roman"/>
          <w:sz w:val="32"/>
          <w:szCs w:val="32"/>
        </w:rPr>
      </w:pPr>
    </w:p>
    <w:p>
      <w:pPr>
        <w:spacing w:line="560" w:lineRule="exact"/>
        <w:ind w:firstLine="640" w:firstLineChars="200"/>
        <w:rPr>
          <w:rFonts w:ascii="Times New Roman" w:hAnsi="Times New Roman" w:eastAsia="方正仿宋_GBK" w:cs="Times New Roman"/>
          <w:sz w:val="32"/>
          <w:szCs w:val="32"/>
        </w:rPr>
      </w:pPr>
    </w:p>
    <w:p>
      <w:pPr>
        <w:spacing w:line="560" w:lineRule="exact"/>
        <w:ind w:firstLine="640" w:firstLineChars="200"/>
        <w:rPr>
          <w:rFonts w:ascii="Times New Roman" w:hAnsi="Times New Roman" w:eastAsia="方正仿宋_GBK" w:cs="Times New Roman"/>
          <w:sz w:val="32"/>
          <w:szCs w:val="32"/>
        </w:rPr>
      </w:pPr>
    </w:p>
    <w:p>
      <w:pPr>
        <w:spacing w:line="560" w:lineRule="exact"/>
        <w:ind w:firstLine="640" w:firstLineChars="200"/>
        <w:rPr>
          <w:rFonts w:ascii="Times New Roman" w:hAnsi="Times New Roman" w:eastAsia="方正仿宋_GBK" w:cs="Times New Roman"/>
          <w:sz w:val="32"/>
          <w:szCs w:val="32"/>
        </w:rPr>
      </w:pPr>
    </w:p>
    <w:p>
      <w:pPr>
        <w:spacing w:line="560" w:lineRule="exact"/>
        <w:ind w:firstLine="640" w:firstLineChars="200"/>
        <w:rPr>
          <w:rFonts w:ascii="Times New Roman" w:hAnsi="Times New Roman" w:eastAsia="方正仿宋_GBK" w:cs="Times New Roman"/>
          <w:sz w:val="32"/>
          <w:szCs w:val="32"/>
        </w:rPr>
      </w:pPr>
    </w:p>
    <w:p>
      <w:pPr>
        <w:spacing w:line="560" w:lineRule="exact"/>
        <w:ind w:firstLine="640" w:firstLineChars="200"/>
        <w:rPr>
          <w:rFonts w:ascii="Times New Roman" w:hAnsi="Times New Roman" w:eastAsia="方正仿宋_GBK" w:cs="Times New Roman"/>
          <w:sz w:val="32"/>
          <w:szCs w:val="32"/>
        </w:rPr>
      </w:pPr>
    </w:p>
    <w:p>
      <w:pPr>
        <w:spacing w:line="560" w:lineRule="exact"/>
        <w:ind w:firstLine="640" w:firstLineChars="200"/>
        <w:rPr>
          <w:rFonts w:ascii="Times New Roman" w:hAnsi="Times New Roman" w:eastAsia="方正仿宋_GBK" w:cs="Times New Roman"/>
          <w:sz w:val="32"/>
          <w:szCs w:val="32"/>
        </w:rPr>
      </w:pPr>
    </w:p>
    <w:p>
      <w:pPr>
        <w:spacing w:line="560" w:lineRule="exact"/>
        <w:ind w:firstLine="640" w:firstLineChars="200"/>
        <w:rPr>
          <w:rFonts w:ascii="Times New Roman" w:hAnsi="Times New Roman" w:eastAsia="方正仿宋_GBK" w:cs="Times New Roman"/>
          <w:sz w:val="32"/>
          <w:szCs w:val="32"/>
        </w:rPr>
      </w:pPr>
    </w:p>
    <w:p>
      <w:pPr>
        <w:spacing w:line="560" w:lineRule="exact"/>
        <w:ind w:firstLine="640" w:firstLineChars="200"/>
        <w:rPr>
          <w:rFonts w:ascii="Times New Roman" w:hAnsi="Times New Roman" w:eastAsia="方正仿宋_GBK" w:cs="Times New Roman"/>
          <w:sz w:val="32"/>
          <w:szCs w:val="32"/>
        </w:rPr>
      </w:pPr>
    </w:p>
    <w:p>
      <w:pPr>
        <w:spacing w:line="560" w:lineRule="exact"/>
        <w:ind w:firstLine="640" w:firstLineChars="200"/>
        <w:rPr>
          <w:rFonts w:ascii="Times New Roman" w:hAnsi="Times New Roman" w:eastAsia="方正仿宋_GBK" w:cs="Times New Roman"/>
          <w:sz w:val="32"/>
          <w:szCs w:val="32"/>
        </w:rPr>
      </w:pP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根据《中华人民共和国审计法》规定，2019年迪庆州审计局对香格里拉县城康珠大道延长线道路建设等11个建设项目工程竣工决算进行了审计，依法出具了审计报告。现将审计结果公告如下：</w:t>
      </w:r>
    </w:p>
    <w:p>
      <w:pPr>
        <w:spacing w:line="560"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一、香格里拉县城康珠大道延长线道路建设项目竣工决算审计结果</w:t>
      </w:r>
    </w:p>
    <w:p>
      <w:pPr>
        <w:spacing w:line="560" w:lineRule="exact"/>
        <w:rPr>
          <w:rFonts w:ascii="Times New Roman" w:hAnsi="Times New Roman" w:eastAsia="方正楷体_GBK" w:cs="Times New Roman"/>
          <w:sz w:val="32"/>
          <w:szCs w:val="32"/>
        </w:rPr>
      </w:pPr>
      <w:r>
        <w:rPr>
          <w:rFonts w:ascii="Times New Roman" w:hAnsi="Times New Roman" w:eastAsia="方正楷体_GBK" w:cs="Times New Roman"/>
          <w:sz w:val="32"/>
          <w:szCs w:val="32"/>
        </w:rPr>
        <w:t xml:space="preserve"> </w:t>
      </w:r>
      <w:r>
        <w:rPr>
          <w:rFonts w:ascii="Times New Roman" w:hAnsi="Times New Roman" w:eastAsia="黑体" w:cs="Times New Roman"/>
          <w:sz w:val="32"/>
          <w:szCs w:val="32"/>
        </w:rPr>
        <w:t xml:space="preserve">   </w:t>
      </w:r>
      <w:r>
        <w:rPr>
          <w:rFonts w:ascii="Times New Roman" w:hAnsi="黑体" w:eastAsia="黑体" w:cs="Times New Roman"/>
          <w:sz w:val="32"/>
          <w:szCs w:val="32"/>
        </w:rPr>
        <w:t>（一）基本情况</w:t>
      </w:r>
    </w:p>
    <w:p>
      <w:pPr>
        <w:spacing w:line="560" w:lineRule="exact"/>
        <w:ind w:left="1918" w:leftChars="304" w:hanging="1280" w:hangingChars="400"/>
        <w:rPr>
          <w:rFonts w:ascii="Times New Roman" w:hAnsi="Times New Roman" w:eastAsia="仿宋_GB2312" w:cs="Times New Roman"/>
          <w:sz w:val="32"/>
          <w:szCs w:val="32"/>
        </w:rPr>
      </w:pPr>
      <w:r>
        <w:rPr>
          <w:rFonts w:ascii="Times New Roman" w:hAnsi="Times New Roman" w:eastAsia="仿宋_GB2312" w:cs="Times New Roman"/>
          <w:sz w:val="32"/>
          <w:szCs w:val="32"/>
        </w:rPr>
        <w:t>2015年2月15日《州十二届人民政府第28次常务会</w:t>
      </w:r>
    </w:p>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议纪要》原则同意实施香格里拉县城康珠大道延长线道路建设项目。会议要求，待州委批准后，国家和省项目资金到位之前，项目征地拆迁及建设资金由州县按50%安排。2015年3月24日《迪庆州财政局关于安排州规划局香格里拉县城康珠大道延长线建设项目征地拆迁及前期经费的通知》（迪财预〔2015〕36号），下达了该建设项目征地拆迁及前期经费1 500万元。2015年4月22日《关于安排香格里拉县城康珠大道延长线建设项目征地拆迁及前期经费的通知》（香财预〔2015〕127号），下达了该建设项目征地拆迁及前期经费1 500万元。</w:t>
      </w:r>
    </w:p>
    <w:p>
      <w:pPr>
        <w:spacing w:line="560" w:lineRule="exact"/>
        <w:ind w:left="1918" w:leftChars="304" w:hanging="1280" w:hangingChars="400"/>
        <w:rPr>
          <w:rFonts w:ascii="Times New Roman" w:hAnsi="Times New Roman" w:eastAsia="仿宋_GB2312" w:cs="Times New Roman"/>
          <w:sz w:val="32"/>
          <w:szCs w:val="32"/>
        </w:rPr>
      </w:pPr>
      <w:r>
        <w:rPr>
          <w:rFonts w:ascii="Times New Roman" w:hAnsi="Times New Roman" w:eastAsia="仿宋_GB2312" w:cs="Times New Roman"/>
          <w:sz w:val="32"/>
          <w:szCs w:val="32"/>
        </w:rPr>
        <w:t>2015年3月26日《迪庆州发展和改革委员会关于香格</w:t>
      </w:r>
    </w:p>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里拉县城康珠大道延长线道路建设项目可行性研究报告的批复》（迪发改投资〔2015〕27号）批准该建设项目可行性研究报告，批准建设规模及内容为道路全长2060.9米，其中1178.3米宽40米，882.6米宽24米，工程估算总投资为8 340万元，其中资金来源多渠道筹集。  </w:t>
      </w:r>
    </w:p>
    <w:p>
      <w:pPr>
        <w:spacing w:line="560" w:lineRule="exact"/>
        <w:ind w:left="1918" w:leftChars="304" w:hanging="1280" w:hangingChars="400"/>
        <w:rPr>
          <w:rFonts w:ascii="Times New Roman" w:hAnsi="Times New Roman" w:eastAsia="仿宋_GB2312" w:cs="Times New Roman"/>
          <w:sz w:val="32"/>
          <w:szCs w:val="32"/>
        </w:rPr>
      </w:pPr>
      <w:r>
        <w:rPr>
          <w:rFonts w:ascii="Times New Roman" w:hAnsi="Times New Roman" w:eastAsia="仿宋_GB2312" w:cs="Times New Roman"/>
          <w:sz w:val="32"/>
          <w:szCs w:val="32"/>
        </w:rPr>
        <w:t>2015年4月21日《迪庆州住房和城乡建设局 迪庆州</w:t>
      </w:r>
    </w:p>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发展和改革委员会关于香格里拉县城康珠大道延长线道路建设项目初步设计批复》（迪建复〔2015〕8号）批准该建设项目初步设计，批准建设规模及内容为道路全长2061.7米，路面结构类型为沥青混凝土路面。建设内容为道路拆除与改沟、道路工程、给排水工程、电气工程、通信工程、绿化工程及燃气管道工程。投资概算8 162.58万元。</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rPr>
        <w:t>审计结果表明：</w:t>
      </w:r>
      <w:r>
        <w:rPr>
          <w:rFonts w:ascii="Times New Roman" w:hAnsi="Times New Roman" w:eastAsia="仿宋_GB2312" w:cs="Times New Roman"/>
          <w:sz w:val="32"/>
          <w:szCs w:val="32"/>
        </w:rPr>
        <w:t>该建设项目建设程序符合规定，财务管理及会计核算基本规范，财务收支基本真实。但审计也发现工程结算多计工程投、多计付迁移补偿费及项目结余建设资金未及时上缴财政等问题。</w:t>
      </w:r>
    </w:p>
    <w:p>
      <w:pPr>
        <w:numPr>
          <w:ilvl w:val="0"/>
          <w:numId w:val="1"/>
        </w:numPr>
        <w:spacing w:line="560" w:lineRule="exact"/>
        <w:rPr>
          <w:rFonts w:ascii="Times New Roman" w:hAnsi="Times New Roman" w:eastAsia="黑体" w:cs="Times New Roman"/>
          <w:sz w:val="32"/>
          <w:szCs w:val="32"/>
        </w:rPr>
      </w:pPr>
      <w:r>
        <w:rPr>
          <w:rFonts w:ascii="Times New Roman" w:hAnsi="黑体" w:eastAsia="黑体" w:cs="Times New Roman"/>
          <w:sz w:val="32"/>
          <w:szCs w:val="32"/>
        </w:rPr>
        <w:t>审计发现的主要问题</w:t>
      </w:r>
    </w:p>
    <w:p>
      <w:pPr>
        <w:tabs>
          <w:tab w:val="left" w:pos="312"/>
        </w:tabs>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1.工程结算多计工程投资656 299.25元。</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2.多计付迁移补偿费19 300元。</w:t>
      </w:r>
    </w:p>
    <w:p>
      <w:pPr>
        <w:spacing w:line="56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3.项目结余建设资金35 071 567.54元未及时上缴迪庆州财政局。</w:t>
      </w:r>
    </w:p>
    <w:p>
      <w:pPr>
        <w:numPr>
          <w:ilvl w:val="0"/>
          <w:numId w:val="1"/>
        </w:numPr>
        <w:spacing w:line="560" w:lineRule="exact"/>
        <w:rPr>
          <w:rFonts w:ascii="Times New Roman" w:hAnsi="Times New Roman" w:eastAsia="黑体" w:cs="Times New Roman"/>
          <w:sz w:val="32"/>
          <w:szCs w:val="32"/>
        </w:rPr>
      </w:pPr>
      <w:r>
        <w:rPr>
          <w:rFonts w:ascii="Times New Roman" w:hAnsi="黑体" w:eastAsia="黑体" w:cs="Times New Roman"/>
          <w:sz w:val="32"/>
          <w:szCs w:val="32"/>
        </w:rPr>
        <w:t>审计处理及整改情况</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1.工程结算多计工程投资656 299.25元的问题，作核减工程投资处理，责令建设单位作账务调整，已完成整改。</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2.多计付迁移补偿费19 300元的问题，作核减工程投资处理，建设单位已在审计期间收回了多支付的迁移补偿费 20 000元，支付了少支付的迁移补偿费700元，并作了账务调整。</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3.项目结余建设资金35 071 567.54元未及时上缴迪庆州财政局的问题。责成建设单位按规定及时将建设项目结余资金上缴迪庆州财政局。建设单位已将建设项目结余资金上缴了迪庆州财政局。</w:t>
      </w:r>
    </w:p>
    <w:p>
      <w:pPr>
        <w:tabs>
          <w:tab w:val="left" w:pos="7925"/>
        </w:tabs>
        <w:spacing w:line="560" w:lineRule="exact"/>
        <w:ind w:right="17"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二、迪庆州博物馆二、三楼展览设计施工一体化提升改造及安防升级改造项目工程竣工决算审计结果</w:t>
      </w:r>
    </w:p>
    <w:p>
      <w:pPr>
        <w:spacing w:line="560" w:lineRule="exact"/>
        <w:rPr>
          <w:rFonts w:ascii="Times New Roman" w:hAnsi="Times New Roman" w:eastAsia="仿宋_GB2312" w:cs="Times New Roman"/>
          <w:sz w:val="32"/>
          <w:szCs w:val="32"/>
        </w:rPr>
      </w:pPr>
      <w:r>
        <w:rPr>
          <w:rFonts w:ascii="Times New Roman" w:hAnsi="Times New Roman" w:eastAsia="方正楷体_GBK" w:cs="Times New Roman"/>
          <w:sz w:val="32"/>
          <w:szCs w:val="32"/>
        </w:rPr>
        <w:t xml:space="preserve">  </w:t>
      </w:r>
      <w:r>
        <w:rPr>
          <w:rFonts w:ascii="Times New Roman" w:hAnsi="Times New Roman" w:eastAsia="仿宋_GB2312" w:cs="Times New Roman"/>
          <w:sz w:val="32"/>
          <w:szCs w:val="32"/>
        </w:rPr>
        <w:t xml:space="preserve">  2017年2月22日，迪庆州博物馆向迪庆州文化局提出《关于迪庆州博物馆二、三楼提升改造及展览方案的请示》（迪博请〔2017〕01号），计划实施《迪庆各民族服饰展览》（1200平米）、《藏族擦擦艺术展》（1000平米）和《历史达赖班禅敬献中央政府礼品专题展》（800平米）三个陈列展示，陈列布展的主要内容为展柜制作和陈列布展，项目计划总投资2 100万元，其中申请中央财政补助600万元。</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2017年3月21日迪庆州博物馆报经迪庆州文化局同意后向迪庆州财政局提出《迪庆州博物馆关于采购博物馆设计施工一体化提升改造项目的请示》（迪博报〔2017〕1号），项目总预算600万元。</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2017年4月26日迪庆州财政局《迪庆州财政局关于对迪庆州博物馆关于采购博物馆设计施工一体化提升改造项目的批复》（迪财采〔2017〕13号）同意项目采购，批准按照“采购组织形式为分散采购，采购方式为公开招标，资金支付方式为部门自行支付”完成采购活动。项目预算600万元。</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2017年7月14日迪庆州博物馆向迪庆州财政局提出《迪庆州博物馆关于安防消防提升改造项目的采购申请》（迪博请〔2017〕6号），经迪庆州财政局2017年8月10日《迪庆州财政局关于对迪庆州博物馆安防消防提升改造项目的批复》（迪财采〔2017〕75号）批复，同意自行采购（分散采购）方式进行采购。项目预算250万元。</w:t>
      </w:r>
    </w:p>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审计结果表明：该项目财务管理及会计核算基本规范，财务收支基本真实。</w:t>
      </w:r>
    </w:p>
    <w:p>
      <w:pPr>
        <w:tabs>
          <w:tab w:val="left" w:pos="7925"/>
        </w:tabs>
        <w:spacing w:line="560" w:lineRule="exact"/>
        <w:ind w:right="17" w:firstLine="640" w:firstLineChars="200"/>
        <w:rPr>
          <w:rFonts w:ascii="Times New Roman" w:hAnsi="Times New Roman" w:eastAsia="黑体" w:cs="Times New Roman"/>
          <w:sz w:val="32"/>
          <w:szCs w:val="32"/>
        </w:rPr>
      </w:pPr>
      <w:r>
        <w:rPr>
          <w:rFonts w:ascii="Times New Roman" w:hAnsi="黑体" w:eastAsia="黑体" w:cs="Times New Roman"/>
          <w:sz w:val="32"/>
          <w:szCs w:val="32"/>
        </w:rPr>
        <w:t>三、迪庆州全科医生临床培养基地建设项目工程竣工决算审计结果</w:t>
      </w:r>
    </w:p>
    <w:p>
      <w:pPr>
        <w:spacing w:line="560"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（一）基本情况</w:t>
      </w:r>
    </w:p>
    <w:p>
      <w:pPr>
        <w:pStyle w:val="2"/>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2014年5月18日，《迪庆州发展和改革委员会关于迪庆州全科医生临床培养基地建设项目可行性研究报告的批复》（迪发改社会〔2014〕21号）批准项目可行性研究报告，批准工程估算总投资为854万元。</w:t>
      </w:r>
    </w:p>
    <w:p>
      <w:pPr>
        <w:pStyle w:val="2"/>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2015年9月23日，《迪庆州住房和城乡建设局迪庆州发展和改革委员会关于迪庆州全科医生临床培养基地建设项目初步设计的批复》（迪建复〔2015〕48号）批准项目初步设计，投资概算863.21万元。</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审计结果表明：该建设项目建设程序基本符合规定，财务管理及会计核算基本规范，财务收支基本真实。但审计也发现了工程结算多计工程投资、合同结算款项支付不规范及多付设计费等问题。</w:t>
      </w:r>
    </w:p>
    <w:p>
      <w:pPr>
        <w:spacing w:line="560"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（二）审计发现的主要问题</w:t>
      </w:r>
    </w:p>
    <w:p>
      <w:pPr>
        <w:pStyle w:val="2"/>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1.工程结算多计工程投资808 893.33元。</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2.合同结算款项支付不规范。2016年9月5号凭证支付迪庆州建设工程质量检测中心有限公司工程质量检测费   8 000元，款项支付至施某某个人账户。2016年9月2号凭证支付云南城市规划建筑设计院（集团）有限公司规划设计费33 320元，款项支付至叶某某个人账户。</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3.设计费合同价款计价基础约定不明确、结算依据不充分，多付设计费15 746.84元。</w:t>
      </w:r>
    </w:p>
    <w:p>
      <w:pPr>
        <w:spacing w:line="560"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（三）审计处理及整改情况</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1.工程结算多计工程投资808 893.33元的问题，州藏医院在审计期间按审定的工程结算价款进行了结算并作了账务处理。</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合同结算款项支付不规范的问题，州藏医院在审计报告征求意见期间厘清了迪庆州建设工程质量检测中心有限公司与施某某、云南城市规划建筑设计院（集团）有限公司与叶某某之间的关系后作出了专题说明，并提交了相关有效证明材料。</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设计费合同价款计价基础约定不明确、结算依据不充分，多付设计费15 746.84元的问题。州藏医院在审计报告征求意见期间与云南城市规划建筑设计院（集团）有限公司协调后签订了补充协议，退回了多付的设计费15 746.84元并据实调整了账面投资。</w:t>
      </w:r>
    </w:p>
    <w:p>
      <w:pPr>
        <w:tabs>
          <w:tab w:val="left" w:pos="7925"/>
        </w:tabs>
        <w:spacing w:line="560" w:lineRule="exact"/>
        <w:ind w:left="2078" w:leftChars="304" w:right="17" w:hanging="1440" w:hangingChars="450"/>
        <w:rPr>
          <w:rFonts w:ascii="Times New Roman" w:hAnsi="Times New Roman" w:eastAsia="黑体" w:cs="Times New Roman"/>
          <w:sz w:val="32"/>
          <w:szCs w:val="32"/>
        </w:rPr>
      </w:pPr>
      <w:r>
        <w:rPr>
          <w:rFonts w:ascii="Times New Roman" w:hAnsi="黑体" w:eastAsia="黑体" w:cs="Times New Roman"/>
          <w:sz w:val="32"/>
          <w:szCs w:val="32"/>
        </w:rPr>
        <w:t>四、香格里拉剧院及附属工程建设项目工程竣工决算审</w:t>
      </w:r>
    </w:p>
    <w:p>
      <w:pPr>
        <w:tabs>
          <w:tab w:val="left" w:pos="7925"/>
        </w:tabs>
        <w:spacing w:line="560" w:lineRule="exact"/>
        <w:ind w:right="17"/>
        <w:rPr>
          <w:rFonts w:ascii="Times New Roman" w:hAnsi="Times New Roman" w:eastAsia="方正黑体简体" w:cs="Times New Roman"/>
          <w:sz w:val="32"/>
          <w:szCs w:val="32"/>
        </w:rPr>
      </w:pPr>
      <w:r>
        <w:rPr>
          <w:rFonts w:ascii="Times New Roman" w:hAnsi="黑体" w:eastAsia="黑体" w:cs="Times New Roman"/>
          <w:sz w:val="32"/>
          <w:szCs w:val="32"/>
        </w:rPr>
        <w:t>计结果</w:t>
      </w:r>
    </w:p>
    <w:p>
      <w:pPr>
        <w:tabs>
          <w:tab w:val="left" w:pos="7925"/>
        </w:tabs>
        <w:spacing w:line="560" w:lineRule="exact"/>
        <w:ind w:right="17"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（一）基本情况</w:t>
      </w:r>
    </w:p>
    <w:p>
      <w:pPr>
        <w:pStyle w:val="2"/>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2013年7月15日，《云南省发展和改革委员会关于香格里拉剧院建设项目可行性研究报告的批复》（云发改投资〔2013〕1189号）批准项目可行性研究报告，批准建设规模：总建筑面积13902平方米，其中，地上建筑面积11286平方米，地下建筑面积2616平方米；投资估算及资金来源：香格里拉剧院建设项目估算总投资11 546.12万元，其中：建筑安装工程费9 507.97万元，其他费用988.5万元，预备费1 049.65万元，资金来源：以地方投资为主，同时积极争取预算内投资补助给予支持。</w:t>
      </w:r>
    </w:p>
    <w:p>
      <w:pPr>
        <w:pStyle w:val="2"/>
        <w:spacing w:line="560" w:lineRule="exact"/>
        <w:ind w:firstLine="640" w:firstLineChars="200"/>
        <w:jc w:val="distribute"/>
        <w:rPr>
          <w:rFonts w:hint="eastAsia" w:ascii="Times New Roman" w:hAnsi="Times New Roman" w:eastAsia="仿宋_GB2312" w:cs="Times New Roman"/>
          <w:sz w:val="32"/>
          <w:szCs w:val="32"/>
        </w:rPr>
      </w:pPr>
      <w:r>
        <w:rPr>
          <w:rFonts w:ascii="Times New Roman" w:hAnsi="Times New Roman" w:eastAsia="仿宋_GB2312" w:cs="Times New Roman"/>
          <w:sz w:val="32"/>
          <w:szCs w:val="32"/>
        </w:rPr>
        <w:t>2013年12月9日，《云南省住房和城乡建设厅 云南省发展和改革委员会关于香格里拉剧院（含民族歌舞团排练厅）初步设计的批复》（云建设〔2013〕880号）批准项目初步设计，批准建设内容及规模为：总建筑面积16661.2m²，其中，地上建筑面积14921.3 m²，地下建筑面积1739.9 m²；概算总投资13 785.98万元（含民族歌舞团排练厅的投资1 220万元），</w:t>
      </w:r>
      <w:r>
        <w:rPr>
          <w:rFonts w:hint="eastAsia" w:ascii="Times New Roman" w:hAnsi="Times New Roman" w:eastAsia="仿宋_GB2312" w:cs="Times New Roman"/>
          <w:sz w:val="32"/>
          <w:szCs w:val="32"/>
        </w:rPr>
        <w:t>其中，建安工程费为11 819.26万元，工程建设其他费用</w:t>
      </w:r>
    </w:p>
    <w:p>
      <w:pPr>
        <w:pStyle w:val="2"/>
        <w:spacing w:line="560" w:lineRule="exact"/>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1 </w:t>
      </w:r>
      <w:r>
        <w:rPr>
          <w:rFonts w:ascii="Times New Roman" w:hAnsi="Times New Roman" w:eastAsia="仿宋_GB2312" w:cs="Times New Roman"/>
          <w:sz w:val="32"/>
          <w:szCs w:val="32"/>
        </w:rPr>
        <w:t>310.24万元，基本预备费为656.48万元。</w:t>
      </w:r>
    </w:p>
    <w:p>
      <w:pPr>
        <w:pStyle w:val="2"/>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2015年8月30日，《迪庆州发展和改革委员会关于迪庆州公共文化服务设施防空地下室建设项目可行性研究报告的批复》（迪发改投资〔2015〕141号），批准公共文化服务设施防空地下室建设项目可行性研究报告，建设内容及规模：建筑面积3 795平方米；建设投资及资金来源：项目估算投资2 010万元，资金多渠道筹集。</w:t>
      </w:r>
    </w:p>
    <w:p>
      <w:pPr>
        <w:pStyle w:val="2"/>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2015年8月30日，《迪庆州发展和改革委员会关于香格里拉县老城区应急避难安置场所建设项目可行性研究报告的批复》（迪发改投资〔2015〕142号），批准老城区应急避难安置场所建设项目可行性研究报告，建设内容及规模：地下应急避难安置场5815平方米，地上应急避难场所20850平方米及公厕、标示标牌等；建设投资及资金来源：项目概算投资3 000万元，资金多渠道筹集。</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审计结果表明：该建设项目建设程序基本符合规定，财务管理及会计核算基本规范，财务收支基本真实。但审计也发现了工程结算多计工程投资、合同款结算支付不规范及债权债务转移三方手续不完备等问题。</w:t>
      </w:r>
    </w:p>
    <w:p>
      <w:pPr>
        <w:spacing w:line="560"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（二）审计发现的主要问题</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1.工程结算多计工程投资5 298 769.13元。</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2.合同款3 000 000元结算支付不规范。</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3.债权债务转移三方手续不完备。</w:t>
      </w:r>
    </w:p>
    <w:p>
      <w:pPr>
        <w:spacing w:line="560"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（三）审计处理及整改情况</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1.工程结算多计工程投资5 298 769.13元的问题。审计作核减工程结算价款和项目投资处理，责成建设单位依法进行整改，按规定进行账务调整，已完成整改。</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合同款3 000 000元结算支付不规范的问题。审计责成指挥部厘清山东荣泰建筑工程集团有限公司与云南康源建筑工程有限公司之间的关系并作出专题说明，督促双方完善并提交相关有效授权或委托手续材料，已完成整改。</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3.债权债务转移三方手续不完备的问题。审计责成建设单位厘清四川中建建业工程有限责任公司与重庆佳信建设集团有限公司之间的关系，并完善相关手续，已完成整改。</w:t>
      </w:r>
    </w:p>
    <w:p>
      <w:pPr>
        <w:spacing w:line="560"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五、迪庆州高原病防治中心建设项目工程竣工决算审计结果</w:t>
      </w:r>
    </w:p>
    <w:p>
      <w:pPr>
        <w:spacing w:line="560"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（一）基本情况</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2011年6月14日《云南省发展和改革委员会关于对迪庆高原病防治中心建设项目可行性研究报告的批复》（云发改投资〔2011〕304号）批准项目可行性研究报告，估算总投资11 350万元。2012年7月20日《迪庆州发展和改革委员会关于调整迪庆州高原病防治中心建设项目规模的通知》（迪发改社会〔2012〕80号）项目建设规模及投资调整为诊疗区总设置床位100张，建筑面积8000m2.项目估算总投资3 000万元，资金来源为中央预算内投资1 500万元，地方配套1 500万元。</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2013年8月28日《迪庆州发展和改革委员会关于迪庆州高原病防治中心康复区建设项目可行性研究报告的批复》（迪发改社会〔2013〕82号）项目估算总投资1 300万元，资金来源为争取上海对口帮扶解决800万元，自筹500万元。</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2013年2月22日《迪庆州住房和城乡建设局  迪庆州发展和改革委员会关于对迪庆州高原病防治中心建设项目初步设计的批复》（迪建复〔2013〕21号）批准项目初步设计，投资概算3 023.17万元。2013年10月30日《迪庆州住房和城乡建设局迪庆州发展和改革委员会关于调整迪庆州高原病防治中心建设项目初步设计的批复》（迪建复〔2013〕53号）调整了项目初步设计，总建筑面积为7501.4平方米，建设内容包括住院楼、门诊楼、大门、值班室、太平间、供应室、发电机房、水泵房、配电室、污水处理站、电梯及室外附属配套工程。初步设计投资概算为2 993.02万元，其中工程直接费2 529.48万元、工程设备费94万元、工程其他费254.43万元、工程基本预备费115.12万元。</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2013年9月18日《迪庆州住房和城乡建设局  迪庆州发展和改革委员会关于迪庆州高原病防治中心康复区建设项目初步设计的批复》（迪建复〔2013〕44号）批准康复区建设项目初步设计，投资概算为1 317</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2万元，其中工程直接费1 114.93万元、工程其他费146.56万元、工程基本预备费55.75万元。</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审计结果表明：该建设项目建设程序基本符合规定，财务管理及会计核算基本规范，财务收支基本真实。但审计也发现了多计工程投资、少计项目投资、扩大开支范围，挤占项目建设成本、合同款结算支付不规范及账务处理不规范等问题。</w:t>
      </w:r>
    </w:p>
    <w:p>
      <w:pPr>
        <w:numPr>
          <w:ilvl w:val="0"/>
          <w:numId w:val="2"/>
        </w:numPr>
        <w:spacing w:line="560"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审计发现的主要问题</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1.工程结算多计工程投资2 863 699.41元。</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2.合同清理结算不及时不全面，财务决算少计项目投资  602 021.61元。</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3.扩大开支范围，挤占项目建设成本5 100元。</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4.合同款结算支付不规范，场坪工程合同施工单位与工程款收款单位不一致的问题。</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5.账务处理不规范。</w:t>
      </w:r>
    </w:p>
    <w:p>
      <w:pPr>
        <w:spacing w:line="560"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（三）审计处理及整改情况</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1.工程结算多计工程投资2 863 699.41元的问题。审计</w:t>
      </w:r>
      <w:r>
        <w:rPr>
          <w:rFonts w:ascii="Times New Roman" w:hAnsi="Times New Roman" w:eastAsia="仿宋_GB2312" w:cs="Times New Roman"/>
          <w:sz w:val="32"/>
          <w:szCs w:val="32"/>
          <w:lang w:val="zh-CN"/>
        </w:rPr>
        <w:t>作核减工程结算价款和项目投资处理，责成州卫健委依法进行整改，按规定调整账务</w:t>
      </w:r>
      <w:r>
        <w:rPr>
          <w:rFonts w:ascii="Times New Roman" w:hAnsi="Times New Roman" w:eastAsia="仿宋_GB2312" w:cs="Times New Roman"/>
          <w:sz w:val="32"/>
          <w:szCs w:val="32"/>
        </w:rPr>
        <w:t>。已完成整改。</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2.合同清理结算不及时不全面，财务决算少计项目投资  602 021.61元的问题。审计责成州卫健委进行整改，按规定调整账务，按合同约定及时支付合同款。已完成整改。</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3.扩大开支范围，挤占项目建设成本5 100元的问题。审计责成州卫健委进行整改，州卫健委收回以上款项，进行账务调整，冲减相关投资。已完成整改。</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合同款结算支付不规范，场坪工程合同施工单位与工程款收款单位不一致的问题。审计责成州卫健委厘清香格里拉县华庭房地产开发有限公司迪庆经济开发区雪映金江小区项目部与迪庆香格里拉市镇建设工程有限责任公司迪庆经济开发区工程项目部之间的关系后作出专题说明、同时督促双方完善并提交相关有效授权或委托手续材料，已完成整改。</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5.账务处理不规范的问题。审计责成州卫健委依法进行整改，已完成整改。</w:t>
      </w:r>
    </w:p>
    <w:p>
      <w:pPr>
        <w:tabs>
          <w:tab w:val="left" w:pos="7925"/>
        </w:tabs>
        <w:spacing w:line="560" w:lineRule="exact"/>
        <w:ind w:right="17" w:firstLine="646"/>
        <w:jc w:val="distribute"/>
        <w:rPr>
          <w:rFonts w:ascii="Times New Roman" w:hAnsi="Times New Roman" w:eastAsia="黑体" w:cs="Times New Roman"/>
          <w:sz w:val="32"/>
          <w:szCs w:val="32"/>
        </w:rPr>
      </w:pPr>
      <w:r>
        <w:rPr>
          <w:rFonts w:ascii="Times New Roman" w:hAnsi="黑体" w:eastAsia="黑体" w:cs="Times New Roman"/>
          <w:sz w:val="32"/>
          <w:szCs w:val="32"/>
        </w:rPr>
        <w:t>六、小中甸水利枢纽工程建设项目工程竣工决算</w:t>
      </w:r>
    </w:p>
    <w:p>
      <w:pPr>
        <w:tabs>
          <w:tab w:val="left" w:pos="7925"/>
        </w:tabs>
        <w:spacing w:line="560" w:lineRule="exact"/>
        <w:ind w:right="17"/>
        <w:jc w:val="left"/>
        <w:rPr>
          <w:rFonts w:ascii="Times New Roman" w:hAnsi="Times New Roman" w:eastAsia="黑体" w:cs="Times New Roman"/>
          <w:sz w:val="32"/>
          <w:szCs w:val="32"/>
        </w:rPr>
      </w:pPr>
      <w:r>
        <w:rPr>
          <w:rFonts w:ascii="Times New Roman" w:hAnsi="黑体" w:eastAsia="黑体" w:cs="Times New Roman"/>
          <w:sz w:val="32"/>
          <w:szCs w:val="32"/>
        </w:rPr>
        <w:t>审计结果</w:t>
      </w:r>
    </w:p>
    <w:p>
      <w:pPr>
        <w:tabs>
          <w:tab w:val="left" w:pos="7925"/>
        </w:tabs>
        <w:spacing w:line="560" w:lineRule="exact"/>
        <w:ind w:right="17"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（一）基本情况</w:t>
      </w:r>
    </w:p>
    <w:p>
      <w:pPr>
        <w:spacing w:line="560" w:lineRule="exact"/>
        <w:ind w:firstLine="640" w:firstLineChars="200"/>
        <w:rPr>
          <w:rFonts w:ascii="Times New Roman" w:hAnsi="Times New Roman" w:eastAsia="仿宋_GB2312" w:cs="Times New Roman"/>
          <w:kern w:val="0"/>
          <w:szCs w:val="32"/>
        </w:rPr>
      </w:pPr>
      <w:r>
        <w:rPr>
          <w:rFonts w:ascii="Times New Roman" w:hAnsi="Times New Roman" w:eastAsia="仿宋_GB2312" w:cs="Times New Roman"/>
          <w:kern w:val="0"/>
          <w:sz w:val="32"/>
          <w:szCs w:val="32"/>
        </w:rPr>
        <w:t>迪庆州小中甸水利枢纽工程是云南省及迪庆州“十二五”期间地方水利重点建设项目，位于云南省迪庆州香格里拉市小中甸硕多岗河上游,距香格里拉县城约32公里,是硕多岗河流域综合开发的II等大（2）型龙头水利工程，是以发电、生态保护为主，结合防洪灌溉等综合利用项目。建设项目水库总库容1.5478亿立方米，水电装机容量18MW，工程概算总投资115 731.94万元，包括枢纽工程、灌区工程、移民及环境、建设期利息、电站接入系统、纳赤河龙潭河奶子河环境综合治理六个部分的投资。建设项目自1993年开始筹备，2009年开始征地移民工作，2012年6月主体工程正式动工，2014年8月大坝下闸蓄水，12月两台机组相继投产试运营，至2019年6月除农田保护和生产生活条件改善项目未完工外，其他建设项目已全面竣工并投入使用。</w:t>
      </w:r>
    </w:p>
    <w:p>
      <w:pPr>
        <w:pStyle w:val="5"/>
        <w:spacing w:line="56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kern w:val="0"/>
          <w:sz w:val="32"/>
          <w:szCs w:val="32"/>
        </w:rPr>
        <w:t>2008年12月8日，国家发展和改革委员会以《国家发展和改革委员会关于</w:t>
      </w:r>
      <w:r>
        <w:rPr>
          <w:rFonts w:ascii="Times New Roman" w:hAnsi="Times New Roman" w:eastAsia="仿宋_GB2312" w:cs="Times New Roman"/>
          <w:sz w:val="32"/>
          <w:szCs w:val="32"/>
        </w:rPr>
        <w:t>云南省迪庆州硕多岗河</w:t>
      </w:r>
      <w:r>
        <w:rPr>
          <w:rFonts w:ascii="Times New Roman" w:hAnsi="Times New Roman" w:eastAsia="仿宋_GB2312" w:cs="Times New Roman"/>
          <w:kern w:val="0"/>
          <w:sz w:val="32"/>
          <w:szCs w:val="32"/>
        </w:rPr>
        <w:t>小中甸水利枢纽项目建议书的批复》（发改农经〔2008〕3372号）原则同意了</w:t>
      </w:r>
      <w:r>
        <w:rPr>
          <w:rFonts w:ascii="Times New Roman" w:hAnsi="Times New Roman" w:eastAsia="仿宋_GB2312" w:cs="Times New Roman"/>
          <w:sz w:val="32"/>
          <w:szCs w:val="32"/>
        </w:rPr>
        <w:t>《云南省迪庆州硕多岗河</w:t>
      </w:r>
      <w:r>
        <w:rPr>
          <w:rFonts w:ascii="Times New Roman" w:hAnsi="Times New Roman" w:eastAsia="仿宋_GB2312" w:cs="Times New Roman"/>
          <w:kern w:val="0"/>
          <w:sz w:val="32"/>
          <w:szCs w:val="32"/>
        </w:rPr>
        <w:t>小中甸水利枢纽项目建议书》。</w:t>
      </w:r>
    </w:p>
    <w:p>
      <w:pPr>
        <w:pStyle w:val="5"/>
        <w:spacing w:line="56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 w:val="32"/>
          <w:szCs w:val="32"/>
        </w:rPr>
        <w:t>2010年10月25日，《国家发展改革委关于云南省小中甸水利枢纽工程可行性研究报告的批复》（发改农经〔2010〕2527号）批准项目可行性研究报告，批准工程估算总投资为77 993万元。</w:t>
      </w:r>
    </w:p>
    <w:p>
      <w:pPr>
        <w:pStyle w:val="5"/>
        <w:spacing w:line="560" w:lineRule="exact"/>
        <w:ind w:firstLine="640" w:firstLineChars="200"/>
        <w:jc w:val="distribute"/>
        <w:rPr>
          <w:rFonts w:hint="eastAsia" w:ascii="Times New Roman" w:hAnsi="Times New Roman" w:eastAsia="仿宋_GB2312" w:cs="Times New Roman"/>
          <w:sz w:val="32"/>
          <w:szCs w:val="32"/>
        </w:rPr>
      </w:pPr>
      <w:r>
        <w:rPr>
          <w:rFonts w:ascii="Times New Roman" w:hAnsi="Times New Roman" w:eastAsia="仿宋_GB2312" w:cs="Times New Roman"/>
          <w:sz w:val="32"/>
          <w:szCs w:val="32"/>
        </w:rPr>
        <w:t>2016年5月11日，《云南省发展和改革委员会关于迪庆州小中甸水利枢纽工程调整概算报告的批复》（云发改农经〔2016〕705号）批准项目概算调整，调整后投资概算</w:t>
      </w:r>
      <w:r>
        <w:rPr>
          <w:rFonts w:hint="eastAsia" w:ascii="Times New Roman" w:hAnsi="Times New Roman" w:eastAsia="仿宋_GB2312" w:cs="Times New Roman"/>
          <w:sz w:val="32"/>
          <w:szCs w:val="32"/>
        </w:rPr>
        <w:t xml:space="preserve"> </w:t>
      </w:r>
    </w:p>
    <w:p>
      <w:pPr>
        <w:pStyle w:val="5"/>
        <w:spacing w:line="560" w:lineRule="exact"/>
        <w:rPr>
          <w:rFonts w:ascii="Times New Roman" w:hAnsi="Times New Roman" w:eastAsia="仿宋_GB2312" w:cs="Times New Roman"/>
          <w:szCs w:val="32"/>
        </w:rPr>
      </w:pPr>
      <w:r>
        <w:rPr>
          <w:rFonts w:ascii="Times New Roman" w:hAnsi="Times New Roman" w:eastAsia="仿宋_GB2312" w:cs="Times New Roman"/>
          <w:sz w:val="32"/>
          <w:szCs w:val="32"/>
        </w:rPr>
        <w:t>115 731.94万元（枢纽工程部分投资27 197.88万元，灌区工程部分投资4 466.81万元，移民及环境部分投资71 638.35万元，建设期贷款利息7 252万元，电站接入系统投资176.9万元，纳赤河、龙潭河、奶子河环境综合治理投资5 000万元）。</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审计结果表明：该建设项目建设程序符合规定，财务管理及会计核算基本规范，财务收支和竣工决算基本真实、完整。但审计也发现了多计工程投资、扩大开支范围、挤占项目建设成本、多计付建设期借款利息、多计“待核销基建支出”、少计“交付使用资产”及多计投资完成额等问题。</w:t>
      </w:r>
    </w:p>
    <w:p>
      <w:pPr>
        <w:spacing w:line="560"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（二）审计发现的主要问题</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1.工程结算多计工程投资1 787 859.08元；</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2.扩大开支范围、挤占项目建设成本595 937元；</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3.多计付建设期借款利息1 158 982.25元；</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4.多计“待核销基建支出”、少计“交付使用资产”        189 354 043.07元；</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5.多计投资完成额5 000万元。</w:t>
      </w:r>
    </w:p>
    <w:p>
      <w:pPr>
        <w:spacing w:line="560"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（三）审计处理及整改情况</w:t>
      </w:r>
    </w:p>
    <w:p>
      <w:pPr>
        <w:spacing w:line="56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 w:val="32"/>
          <w:szCs w:val="32"/>
        </w:rPr>
        <w:t>1.工程结算多计工程投资1 787 859.08元的问题。</w:t>
      </w:r>
      <w:r>
        <w:rPr>
          <w:rFonts w:ascii="Times New Roman" w:hAnsi="Times New Roman" w:eastAsia="仿宋_GB2312" w:cs="Times New Roman"/>
          <w:sz w:val="32"/>
          <w:szCs w:val="32"/>
          <w:lang w:val="zh-CN"/>
        </w:rPr>
        <w:t>建设单位已在跟踪审计期间进行了整改，调整了工程结算价款。</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仿宋_GB2312" w:cs="Times New Roman"/>
          <w:sz w:val="32"/>
          <w:szCs w:val="32"/>
        </w:rPr>
        <w:t>2.扩大开支范围、挤占项目建设成本595 937元的问题。审计责成迪庆州小中甸水利枢纽工程开发投资有限责任公司收回以上款项，账务调整，冲减相关投资，</w:t>
      </w:r>
      <w:r>
        <w:rPr>
          <w:rFonts w:ascii="Times New Roman" w:hAnsi="方正仿宋_GBK" w:eastAsia="方正仿宋_GBK" w:cs="Times New Roman"/>
          <w:sz w:val="32"/>
          <w:szCs w:val="32"/>
        </w:rPr>
        <w:t>已完成整改。</w:t>
      </w:r>
    </w:p>
    <w:p>
      <w:pPr>
        <w:spacing w:line="56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 w:val="32"/>
          <w:szCs w:val="32"/>
        </w:rPr>
        <w:t>3.多计付建设期借款利息1 158 982.25元的问题。审计责成迪庆州小中甸水利枢纽工程开发投资有限责任公司与丽香铁路征地拆迁协调指挥部、州财政局反映，退回多支付的借款利息并作账务调整，冲减项目投资。迪庆州小中甸水利枢纽工程开发投资有限责任公司账面已作调整，冲减项目投资后转记了州财政局应收款，截至2020年7月，州财政局尚未安排拨付相关资金。</w:t>
      </w:r>
    </w:p>
    <w:p>
      <w:pPr>
        <w:spacing w:line="56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 w:val="32"/>
          <w:szCs w:val="32"/>
        </w:rPr>
        <w:t>4.多计“待核销基建支出”、少计“交付使用资产”        189 354 043.07元的问题。</w:t>
      </w:r>
      <w:r>
        <w:rPr>
          <w:rFonts w:ascii="Times New Roman" w:hAnsi="Times New Roman" w:eastAsia="仿宋_GB2312" w:cs="Times New Roman"/>
          <w:sz w:val="32"/>
          <w:szCs w:val="32"/>
          <w:lang w:val="zh-CN"/>
        </w:rPr>
        <w:t>审计责成</w:t>
      </w:r>
      <w:r>
        <w:rPr>
          <w:rFonts w:ascii="Times New Roman" w:hAnsi="Times New Roman" w:eastAsia="仿宋_GB2312" w:cs="Times New Roman"/>
          <w:sz w:val="32"/>
          <w:szCs w:val="32"/>
        </w:rPr>
        <w:t>迪庆州小中甸水利枢纽工程开发投资有限责任公司按照规定整改，调整账务，同时，对移民安置补偿中产权归属移民的投资尽快按规定办理投资核销报批手续。迪庆州小中甸水利枢纽工程开发投资有限责任公司已作账务调整，但尚未办理投资核销报批手续。</w:t>
      </w:r>
    </w:p>
    <w:p>
      <w:pPr>
        <w:spacing w:line="56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 w:val="32"/>
          <w:szCs w:val="32"/>
        </w:rPr>
        <w:t>5.多计投资完成额5 000万元的问题。审计</w:t>
      </w:r>
      <w:r>
        <w:rPr>
          <w:rFonts w:ascii="Times New Roman" w:hAnsi="Times New Roman" w:eastAsia="仿宋_GB2312" w:cs="Times New Roman"/>
          <w:sz w:val="32"/>
          <w:szCs w:val="32"/>
          <w:lang w:val="zh-CN"/>
        </w:rPr>
        <w:t>责成</w:t>
      </w:r>
      <w:r>
        <w:rPr>
          <w:rFonts w:ascii="Times New Roman" w:hAnsi="Times New Roman" w:eastAsia="仿宋_GB2312" w:cs="Times New Roman"/>
          <w:sz w:val="32"/>
          <w:szCs w:val="32"/>
        </w:rPr>
        <w:t>迪庆州小中甸水利枢纽工程开发投资有限责任公司按照规定整改，调整账务。经迪庆州小中甸水利枢纽工程开发投资有限责任公司向迪庆州开发投资集团有限责任公司、州财政局核实，该资金已经财政拨迪庆州开发投资集团有限责任公司用于小中甸水库配套的环境综合治理项目投资，并提交了相关投资证明资料。</w:t>
      </w:r>
    </w:p>
    <w:p>
      <w:pPr>
        <w:tabs>
          <w:tab w:val="left" w:pos="7925"/>
        </w:tabs>
        <w:spacing w:line="560" w:lineRule="exact"/>
        <w:ind w:right="17" w:firstLine="645"/>
        <w:rPr>
          <w:rFonts w:ascii="Times New Roman" w:hAnsi="Times New Roman" w:eastAsia="黑体" w:cs="Times New Roman"/>
          <w:sz w:val="32"/>
          <w:szCs w:val="32"/>
        </w:rPr>
      </w:pPr>
      <w:r>
        <w:rPr>
          <w:rFonts w:ascii="Times New Roman" w:hAnsi="黑体" w:eastAsia="黑体" w:cs="Times New Roman"/>
          <w:sz w:val="32"/>
          <w:szCs w:val="32"/>
        </w:rPr>
        <w:t>七、迪庆香格里拉规划展示服务中心建设项目竣工决算审计结果</w:t>
      </w:r>
    </w:p>
    <w:p>
      <w:pPr>
        <w:spacing w:line="560"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（一）基本情况</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2015年9月10日《香格里拉市城乡规划管理局关于迪庆香格里拉规划展示服务中心建设项目规划方案的批复》（香城规发</w:t>
      </w:r>
      <w:r>
        <w:rPr>
          <w:rFonts w:ascii="Times New Roman" w:hAnsi="Times New Roman" w:eastAsia="仿宋_GB2312" w:cs="Times New Roman"/>
          <w:kern w:val="0"/>
          <w:sz w:val="32"/>
          <w:szCs w:val="32"/>
        </w:rPr>
        <w:t>〔2015〕</w:t>
      </w:r>
      <w:r>
        <w:rPr>
          <w:rFonts w:ascii="Times New Roman" w:hAnsi="Times New Roman" w:eastAsia="仿宋_GB2312" w:cs="Times New Roman"/>
          <w:sz w:val="32"/>
          <w:szCs w:val="32"/>
        </w:rPr>
        <w:t>452号）批准项目规划方案。该项目用地性质属于图书展览用地，批准总用地面积10 000平方米（15亩），总建筑面积4 999.7平方米。</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2016年3月1日《迪庆州发展和改革委员会关于迪庆香格里拉规划展示服务中心建设项目可行性研究报告的批复》（迪发改投资</w:t>
      </w:r>
      <w:r>
        <w:rPr>
          <w:rFonts w:ascii="Times New Roman" w:hAnsi="Times New Roman" w:eastAsia="仿宋_GB2312" w:cs="Times New Roman"/>
          <w:kern w:val="0"/>
          <w:sz w:val="32"/>
          <w:szCs w:val="32"/>
        </w:rPr>
        <w:t>〔2016〕</w:t>
      </w:r>
      <w:r>
        <w:rPr>
          <w:rFonts w:ascii="Times New Roman" w:hAnsi="Times New Roman" w:eastAsia="仿宋_GB2312" w:cs="Times New Roman"/>
          <w:sz w:val="32"/>
          <w:szCs w:val="32"/>
        </w:rPr>
        <w:t>5号）批准项目可行性研究报告，批准工程估算总投资为3 360万元。</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2016年3月31日《迪庆州住房和城乡建设局 迪庆州发展和改革委员会关于迪庆香格里拉规划展示服务中心建设项目初步设计的批复》（迪建复</w:t>
      </w:r>
      <w:r>
        <w:rPr>
          <w:rFonts w:ascii="Times New Roman" w:hAnsi="Times New Roman" w:eastAsia="仿宋_GB2312" w:cs="Times New Roman"/>
          <w:kern w:val="0"/>
          <w:sz w:val="32"/>
          <w:szCs w:val="32"/>
        </w:rPr>
        <w:t>〔2016〕</w:t>
      </w:r>
      <w:r>
        <w:rPr>
          <w:rFonts w:ascii="Times New Roman" w:hAnsi="Times New Roman" w:eastAsia="仿宋_GB2312" w:cs="Times New Roman"/>
          <w:sz w:val="32"/>
          <w:szCs w:val="32"/>
        </w:rPr>
        <w:t>10号）批准项目初步设计，投资概算3 359.86万元（工程直接费2 944.05万元、工程其它费用255.82万元、工程基本预备费159.99万元），建筑面积4 999.7平方米，建设内容包括迪庆香格里拉规划展示服务中心及附属设施建设。</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2016年12月5日，指挥部《关于批准实施迪庆香格里拉规划展示服务中心布展工程的请示》（迪规展指请</w:t>
      </w:r>
      <w:r>
        <w:rPr>
          <w:rFonts w:ascii="Times New Roman" w:hAnsi="Times New Roman" w:eastAsia="仿宋_GB2312" w:cs="Times New Roman"/>
          <w:kern w:val="0"/>
          <w:sz w:val="32"/>
          <w:szCs w:val="32"/>
        </w:rPr>
        <w:t>〔2016〕</w:t>
      </w:r>
      <w:r>
        <w:rPr>
          <w:rFonts w:ascii="Times New Roman" w:hAnsi="Times New Roman" w:eastAsia="仿宋_GB2312" w:cs="Times New Roman"/>
          <w:sz w:val="32"/>
          <w:szCs w:val="32"/>
        </w:rPr>
        <w:t>10号），2016年12月7日，州政府副州长在请示上签批同意实施。2017年2月24日《迪庆州财政局关于对迪庆香格里拉规划展示服务中心建设项目指挥部规划展示项目采购的批复》（迪财采</w:t>
      </w:r>
      <w:bookmarkStart w:id="0" w:name="OLE_LINK3"/>
      <w:r>
        <w:rPr>
          <w:rFonts w:ascii="Times New Roman" w:hAnsi="Times New Roman" w:eastAsia="仿宋_GB2312" w:cs="Times New Roman"/>
          <w:kern w:val="0"/>
          <w:sz w:val="32"/>
          <w:szCs w:val="32"/>
        </w:rPr>
        <w:t>〔2016〕</w:t>
      </w:r>
      <w:r>
        <w:rPr>
          <w:rFonts w:ascii="Times New Roman" w:hAnsi="Times New Roman" w:eastAsia="仿宋_GB2312" w:cs="Times New Roman"/>
          <w:sz w:val="32"/>
          <w:szCs w:val="32"/>
        </w:rPr>
        <w:t>8号</w:t>
      </w:r>
      <w:bookmarkEnd w:id="0"/>
      <w:r>
        <w:rPr>
          <w:rFonts w:ascii="Times New Roman" w:hAnsi="Times New Roman" w:eastAsia="仿宋_GB2312" w:cs="Times New Roman"/>
          <w:sz w:val="32"/>
          <w:szCs w:val="32"/>
        </w:rPr>
        <w:t>）文件，批准展览馆布展项目公开招标采购，项目预算1 997.447 723万元。</w:t>
      </w:r>
    </w:p>
    <w:p>
      <w:pPr>
        <w:spacing w:line="560" w:lineRule="exact"/>
        <w:ind w:firstLine="640" w:firstLineChars="200"/>
        <w:rPr>
          <w:rFonts w:ascii="Times New Roman" w:hAnsi="Times New Roman" w:eastAsia="仿宋_GB2312" w:cs="Times New Roman"/>
          <w:sz w:val="32"/>
          <w:szCs w:val="32"/>
        </w:rPr>
      </w:pPr>
      <w:bookmarkStart w:id="1" w:name="_Hlk18575387"/>
      <w:r>
        <w:rPr>
          <w:rFonts w:ascii="Times New Roman" w:hAnsi="Times New Roman" w:eastAsia="仿宋_GB2312" w:cs="Times New Roman"/>
          <w:sz w:val="32"/>
          <w:szCs w:val="32"/>
        </w:rPr>
        <w:t>2017年2月16日《迪庆藏族自治州人民政府关于印发建州60周年州庆重点建设项目调整计划的通知》（迪政发</w:t>
      </w:r>
      <w:r>
        <w:rPr>
          <w:rFonts w:ascii="Times New Roman" w:hAnsi="Times New Roman" w:eastAsia="仿宋_GB2312" w:cs="Times New Roman"/>
          <w:kern w:val="0"/>
          <w:sz w:val="32"/>
          <w:szCs w:val="32"/>
        </w:rPr>
        <w:t>〔2017〕</w:t>
      </w:r>
      <w:r>
        <w:rPr>
          <w:rFonts w:ascii="Times New Roman" w:hAnsi="Times New Roman" w:eastAsia="仿宋_GB2312" w:cs="Times New Roman"/>
          <w:sz w:val="32"/>
          <w:szCs w:val="32"/>
        </w:rPr>
        <w:t>23号），决定对州庆重点项目计划进行调整。迪庆香格里拉规划展示服务中心主要建设内容和规模调整为总建筑面积4 961平方米及附属设施建设、总投资5 300万元</w:t>
      </w:r>
      <w:bookmarkEnd w:id="1"/>
      <w:r>
        <w:rPr>
          <w:rFonts w:ascii="Times New Roman" w:hAnsi="Times New Roman" w:eastAsia="仿宋_GB2312" w:cs="Times New Roman"/>
          <w:sz w:val="32"/>
          <w:szCs w:val="32"/>
        </w:rPr>
        <w:t>。</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2017年7月25日经规划展示服务中心建设项目领导小组报请分管副州长（领导小组组长）批准，增加布展展厅及业务用房办公设备，费用40万元。</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审计结果表明：该建设项目建设程序基本符合规定，财务管理及会计核算基本规范，财务收支基本真实。但存在工程结算多计工程投资问题。但审计也发现了多计工程投资的问题。</w:t>
      </w:r>
    </w:p>
    <w:p>
      <w:pPr>
        <w:numPr>
          <w:ilvl w:val="0"/>
          <w:numId w:val="3"/>
        </w:numPr>
        <w:spacing w:line="560"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审计发现的主要问题</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工程结算多计工程投资2 384 764.45元的问题。</w:t>
      </w:r>
    </w:p>
    <w:p>
      <w:pPr>
        <w:spacing w:line="560"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（三）审计处理及整改情况</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工程结算多计工程投资2 384 764.45元的问题，审计</w:t>
      </w:r>
      <w:r>
        <w:rPr>
          <w:rFonts w:ascii="Times New Roman" w:hAnsi="Times New Roman" w:eastAsia="仿宋_GB2312" w:cs="Times New Roman"/>
          <w:sz w:val="32"/>
          <w:szCs w:val="32"/>
          <w:lang w:val="zh-CN"/>
        </w:rPr>
        <w:t>责成建设单位进行整改，按规定进行账务调整。已完成整改。</w:t>
      </w:r>
    </w:p>
    <w:p>
      <w:pPr>
        <w:tabs>
          <w:tab w:val="left" w:pos="7925"/>
        </w:tabs>
        <w:spacing w:line="560" w:lineRule="exact"/>
        <w:ind w:right="17" w:firstLine="640" w:firstLineChars="200"/>
        <w:rPr>
          <w:rFonts w:ascii="Times New Roman" w:hAnsi="Times New Roman" w:eastAsia="黑体" w:cs="Times New Roman"/>
          <w:bCs/>
          <w:sz w:val="32"/>
          <w:szCs w:val="32"/>
        </w:rPr>
      </w:pPr>
      <w:r>
        <w:rPr>
          <w:rFonts w:ascii="Times New Roman" w:hAnsi="黑体" w:eastAsia="黑体" w:cs="Times New Roman"/>
          <w:bCs/>
          <w:sz w:val="32"/>
          <w:szCs w:val="32"/>
        </w:rPr>
        <w:t>八、迪庆州政府行政中心改扩建项目工程竣工决算审计</w:t>
      </w:r>
      <w:r>
        <w:rPr>
          <w:rFonts w:ascii="Times New Roman" w:hAnsi="黑体" w:eastAsia="黑体" w:cs="Times New Roman"/>
          <w:sz w:val="32"/>
          <w:szCs w:val="32"/>
        </w:rPr>
        <w:t>结果</w:t>
      </w:r>
    </w:p>
    <w:p>
      <w:pPr>
        <w:spacing w:line="560" w:lineRule="exact"/>
        <w:ind w:firstLine="640" w:firstLineChars="200"/>
        <w:rPr>
          <w:rFonts w:ascii="Times New Roman" w:hAnsi="Times New Roman" w:eastAsia="黑体" w:cs="Times New Roman"/>
          <w:bCs/>
          <w:sz w:val="32"/>
          <w:szCs w:val="32"/>
        </w:rPr>
      </w:pPr>
      <w:r>
        <w:rPr>
          <w:rFonts w:ascii="Times New Roman" w:hAnsi="黑体" w:eastAsia="黑体" w:cs="Times New Roman"/>
          <w:bCs/>
          <w:sz w:val="32"/>
          <w:szCs w:val="32"/>
        </w:rPr>
        <w:t>（一）基本情况</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2012年2月16日，云南省发展和改革委员会《关于迪庆藏族自治州人民政府行政中心改扩建项目可行性研究报告的批复》（云发改投资〔2012〕200号）,同意项目可研报告。</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2012年9月7日，云南省住房和城乡建设厅 云南省发展和改革委员会《关于迪庆藏族自治州人民政府行政中心改扩建项目初步设计的批复》（云建设〔2012〕650号）原则同意该工程初步设计。规划用地面积46 265平方米；总建筑面积40 569.85平方米，其中：改造原有建筑1号楼4 875平方米；新建建筑面积31 803.85平方米，包括3号楼、4号楼主楼地上部分21 633.54平方米，4号楼副楼及门卫室2 132.52平方米，3号楼、4号楼地下室8 037.79平方米；初步设计概算总投资9 525.03万元。</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2013年4月22日，迪庆州人民防空办公室《关于对迪庆州人民政府行政中心建设项目修建防空地下室申请的批复》（迪人防结建复〔2013〕2号）认为该项目符合修建防空地下室的要求，同意结合项目建设修建防空地下室该项目地面建筑总面积31 803.85平方米，应建防空地下室2 000平方米，防护等级为：防常规武器6级。战时用途为人员掩蔽工程，平时用途为停车库。</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2015年9月21日，迪庆州发展和改革委员会《关于迪庆州人民政府行政中心机关食堂建设项目立项的批复》批准食堂建设项目立项。建设内容及规模：910平方米,项目估算投资196万元。</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审计结果表明:项目建设程序基本符合规定，财务管理及会计核算基本规范，财务收支基本真实。但审计也发现了多计工程投资、建设内容发生重大变更，未及时办理相关报批手续、违规发放外勤补助及收款及发票开具主体与合同签订主体不一致等问题。</w:t>
      </w:r>
    </w:p>
    <w:p>
      <w:pPr>
        <w:spacing w:line="560"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（二）审计发现的主要问题</w:t>
      </w:r>
    </w:p>
    <w:p>
      <w:pPr>
        <w:spacing w:line="560" w:lineRule="exact"/>
        <w:ind w:firstLine="281" w:firstLineChars="88"/>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1.工程结算多计工程投资3 163 406.12元；</w:t>
      </w:r>
    </w:p>
    <w:p>
      <w:pPr>
        <w:spacing w:line="560" w:lineRule="exact"/>
        <w:ind w:firstLine="601" w:firstLineChars="188"/>
        <w:rPr>
          <w:rFonts w:ascii="Times New Roman" w:hAnsi="Times New Roman" w:eastAsia="仿宋_GB2312" w:cs="Times New Roman"/>
          <w:sz w:val="32"/>
          <w:szCs w:val="32"/>
        </w:rPr>
      </w:pPr>
      <w:r>
        <w:rPr>
          <w:rFonts w:ascii="Times New Roman" w:hAnsi="Times New Roman" w:eastAsia="仿宋_GB2312" w:cs="Times New Roman"/>
          <w:sz w:val="32"/>
          <w:szCs w:val="32"/>
        </w:rPr>
        <w:t>2.建设内容发生重大变更，未及时办理相关报批手续；</w:t>
      </w:r>
    </w:p>
    <w:p>
      <w:pPr>
        <w:spacing w:line="560" w:lineRule="exact"/>
        <w:ind w:firstLine="601" w:firstLineChars="188"/>
        <w:rPr>
          <w:rFonts w:ascii="Times New Roman" w:hAnsi="Times New Roman" w:eastAsia="仿宋_GB2312" w:cs="Times New Roman"/>
          <w:sz w:val="32"/>
          <w:szCs w:val="32"/>
        </w:rPr>
      </w:pPr>
      <w:r>
        <w:rPr>
          <w:rFonts w:ascii="Times New Roman" w:hAnsi="Times New Roman" w:eastAsia="仿宋_GB2312" w:cs="Times New Roman"/>
          <w:sz w:val="32"/>
          <w:szCs w:val="32"/>
        </w:rPr>
        <w:t>3.违规发放外勤补助137 200元；</w:t>
      </w:r>
    </w:p>
    <w:p>
      <w:pPr>
        <w:spacing w:line="560" w:lineRule="exact"/>
        <w:ind w:firstLine="601" w:firstLineChars="188"/>
        <w:rPr>
          <w:rFonts w:ascii="Times New Roman" w:hAnsi="Times New Roman" w:eastAsia="仿宋_GB2312" w:cs="Times New Roman"/>
          <w:sz w:val="32"/>
          <w:szCs w:val="32"/>
        </w:rPr>
      </w:pPr>
      <w:r>
        <w:rPr>
          <w:rFonts w:ascii="Times New Roman" w:hAnsi="Times New Roman" w:eastAsia="仿宋_GB2312" w:cs="Times New Roman"/>
          <w:sz w:val="32"/>
          <w:szCs w:val="32"/>
        </w:rPr>
        <w:t>4.收款及发票开具主体与合同签订主体不一致。</w:t>
      </w:r>
    </w:p>
    <w:p>
      <w:pPr>
        <w:spacing w:line="560"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（三）审计处理及整改情况</w:t>
      </w:r>
    </w:p>
    <w:p>
      <w:pPr>
        <w:autoSpaceDE w:val="0"/>
        <w:autoSpaceDN w:val="0"/>
        <w:adjustRightInd w:val="0"/>
        <w:spacing w:line="560" w:lineRule="exact"/>
        <w:ind w:firstLine="480" w:firstLineChars="15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1.责成指挥部依法进行整改，按规定进行账务调整； </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2.责成指挥部厘清情况，按规定尽快办理设计变更报备登记手续，作出专题说明；</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3.责成指挥部进行整改，收回违规发放的外勤补助</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137 200元，并作账务调整，冲减相关投资；</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4.责成建设单位督促云南地质工程勘察设计研究院与西南有色大理地基基础工程公司完善相关委托收款手续。</w:t>
      </w:r>
    </w:p>
    <w:p>
      <w:pPr>
        <w:spacing w:line="560" w:lineRule="exact"/>
        <w:ind w:firstLine="281" w:firstLineChars="88"/>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以上问题指挥部已完成整改。</w:t>
      </w:r>
    </w:p>
    <w:p>
      <w:pPr>
        <w:tabs>
          <w:tab w:val="left" w:pos="7925"/>
        </w:tabs>
        <w:spacing w:line="560" w:lineRule="exact"/>
        <w:ind w:right="17" w:firstLine="640" w:firstLineChars="200"/>
        <w:rPr>
          <w:rFonts w:ascii="Times New Roman" w:hAnsi="Times New Roman" w:eastAsia="黑体" w:cs="Times New Roman"/>
          <w:bCs/>
          <w:sz w:val="32"/>
          <w:szCs w:val="32"/>
        </w:rPr>
      </w:pPr>
      <w:r>
        <w:rPr>
          <w:rFonts w:ascii="Times New Roman" w:hAnsi="黑体" w:eastAsia="黑体" w:cs="Times New Roman"/>
          <w:bCs/>
          <w:sz w:val="32"/>
          <w:szCs w:val="32"/>
        </w:rPr>
        <w:t>九、迪庆州残疾人康复中心建设项目工程竣工决算审计</w:t>
      </w:r>
      <w:r>
        <w:rPr>
          <w:rFonts w:ascii="Times New Roman" w:hAnsi="黑体" w:eastAsia="黑体" w:cs="Times New Roman"/>
          <w:sz w:val="32"/>
          <w:szCs w:val="32"/>
        </w:rPr>
        <w:t>结果</w:t>
      </w:r>
      <w:r>
        <w:rPr>
          <w:rFonts w:ascii="Times New Roman" w:hAnsi="Times New Roman" w:eastAsia="黑体" w:cs="Times New Roman"/>
          <w:bCs/>
          <w:sz w:val="32"/>
          <w:szCs w:val="32"/>
        </w:rPr>
        <w:t xml:space="preserve"> </w:t>
      </w:r>
    </w:p>
    <w:p>
      <w:pPr>
        <w:tabs>
          <w:tab w:val="left" w:pos="7925"/>
        </w:tabs>
        <w:spacing w:line="560" w:lineRule="exact"/>
        <w:ind w:right="17" w:firstLine="640" w:firstLineChars="200"/>
        <w:rPr>
          <w:rFonts w:ascii="Times New Roman" w:hAnsi="Times New Roman" w:eastAsia="黑体" w:cs="Times New Roman"/>
          <w:bCs/>
          <w:sz w:val="32"/>
          <w:szCs w:val="32"/>
        </w:rPr>
      </w:pPr>
      <w:r>
        <w:rPr>
          <w:rFonts w:ascii="Times New Roman" w:hAnsi="黑体" w:eastAsia="黑体" w:cs="Times New Roman"/>
          <w:bCs/>
          <w:sz w:val="32"/>
          <w:szCs w:val="32"/>
        </w:rPr>
        <w:t>（一）基本情况</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2012年8月15日，迪庆州发展和改革委员会《关于迪庆州残疾人康复中心建设项目可行性研究报告的批复》（迪发改社会〔2012〕36号）,批准该项目可行性研究报告。</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2013年10月20日，迪庆州住房和城乡建设局 迪庆州发展和改革委员会《关于迪庆州残疾人康复中心建设项目初步设计的批复》（迪建复〔2013〕56号）,批准该建设项目初步设计。批准总建筑面积6240.35平方米；概算投资1 605.65万元。</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2012年8月13日,取得香格里拉县国土资源局颁发的《建设用地批准书》（迪庆州香格里拉县〔2012〕香国土资字第45号）。</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2013年6月26日，香格里拉县人民政府《关于迪庆州残疾人托养康复中心项目建设用地的批复》(香政复〔2013〕39号)同意该项目建设用地（香格里拉县东北片区内给予协调解决12亩土地）。</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该建设项目土建工程于2014年10月18日开工，2015年9月20日竣工，验收结论合格。该建设项目装修工程于2016年4月1日开工，2016年12月30日竣工，验收结论合格。</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审计结果表明：该建设项目建设程序基本符合规定，财务管理及会计核算基本规范，财务收支基本真实。但审计也发现了多计工程投资的问题。</w:t>
      </w:r>
    </w:p>
    <w:p>
      <w:pPr>
        <w:spacing w:line="560" w:lineRule="exact"/>
        <w:ind w:firstLine="441" w:firstLineChars="138"/>
        <w:rPr>
          <w:rFonts w:ascii="Times New Roman" w:hAnsi="Times New Roman" w:eastAsia="黑体" w:cs="Times New Roman"/>
          <w:bCs/>
          <w:sz w:val="32"/>
          <w:szCs w:val="32"/>
        </w:rPr>
      </w:pPr>
      <w:r>
        <w:rPr>
          <w:rFonts w:ascii="Times New Roman" w:hAnsi="黑体" w:eastAsia="黑体" w:cs="Times New Roman"/>
          <w:bCs/>
          <w:sz w:val="32"/>
          <w:szCs w:val="32"/>
        </w:rPr>
        <w:t>（二）审计发现的主要问题</w:t>
      </w:r>
    </w:p>
    <w:p>
      <w:pPr>
        <w:spacing w:line="560" w:lineRule="exact"/>
        <w:ind w:firstLine="601" w:firstLineChars="188"/>
        <w:rPr>
          <w:rFonts w:ascii="Times New Roman" w:hAnsi="Times New Roman" w:eastAsia="仿宋_GB2312" w:cs="Times New Roman"/>
          <w:sz w:val="32"/>
          <w:szCs w:val="32"/>
        </w:rPr>
      </w:pPr>
      <w:r>
        <w:rPr>
          <w:rFonts w:ascii="Times New Roman" w:hAnsi="Times New Roman" w:eastAsia="仿宋_GB2312" w:cs="Times New Roman"/>
          <w:sz w:val="32"/>
          <w:szCs w:val="32"/>
        </w:rPr>
        <w:t>工程结算多计工程投资758 381.86元。</w:t>
      </w:r>
    </w:p>
    <w:p>
      <w:pPr>
        <w:spacing w:line="560" w:lineRule="exact"/>
        <w:ind w:firstLine="441" w:firstLineChars="138"/>
        <w:rPr>
          <w:rFonts w:ascii="Times New Roman" w:hAnsi="Times New Roman" w:eastAsia="黑体" w:cs="Times New Roman"/>
          <w:bCs/>
          <w:sz w:val="32"/>
          <w:szCs w:val="32"/>
        </w:rPr>
      </w:pPr>
      <w:r>
        <w:rPr>
          <w:rFonts w:ascii="Times New Roman" w:hAnsi="黑体" w:eastAsia="黑体" w:cs="Times New Roman"/>
          <w:bCs/>
          <w:sz w:val="32"/>
          <w:szCs w:val="32"/>
        </w:rPr>
        <w:t>（三）审计处理及整改情况</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责成依法进行整改，按规定进行账务调整，该问题审计期间已完成整改。</w:t>
      </w:r>
    </w:p>
    <w:p>
      <w:pPr>
        <w:tabs>
          <w:tab w:val="left" w:pos="7925"/>
        </w:tabs>
        <w:spacing w:line="560" w:lineRule="exact"/>
        <w:ind w:right="17" w:firstLine="640" w:firstLineChars="200"/>
        <w:rPr>
          <w:rFonts w:ascii="Times New Roman" w:hAnsi="Times New Roman" w:eastAsia="黑体" w:cs="Times New Roman"/>
          <w:bCs/>
          <w:sz w:val="32"/>
          <w:szCs w:val="32"/>
        </w:rPr>
      </w:pPr>
      <w:r>
        <w:rPr>
          <w:rFonts w:ascii="Times New Roman" w:hAnsi="黑体" w:eastAsia="黑体" w:cs="Times New Roman"/>
          <w:bCs/>
          <w:sz w:val="32"/>
          <w:szCs w:val="32"/>
        </w:rPr>
        <w:t>十、迪庆香格里拉社会福利中心建设项目工程竣工决算审计结果</w:t>
      </w:r>
    </w:p>
    <w:p>
      <w:pPr>
        <w:spacing w:line="560" w:lineRule="exact"/>
        <w:ind w:firstLine="640" w:firstLineChars="200"/>
        <w:rPr>
          <w:rFonts w:ascii="Times New Roman" w:hAnsi="Times New Roman" w:eastAsia="黑体" w:cs="Times New Roman"/>
          <w:bCs/>
          <w:sz w:val="32"/>
          <w:szCs w:val="32"/>
        </w:rPr>
      </w:pPr>
      <w:r>
        <w:rPr>
          <w:rFonts w:ascii="Times New Roman" w:hAnsi="Times New Roman" w:eastAsia="黑体" w:cs="Times New Roman"/>
          <w:bCs/>
          <w:sz w:val="32"/>
          <w:szCs w:val="32"/>
        </w:rPr>
        <w:t>(</w:t>
      </w:r>
      <w:r>
        <w:rPr>
          <w:rFonts w:ascii="Times New Roman" w:hAnsi="黑体" w:eastAsia="黑体" w:cs="Times New Roman"/>
          <w:bCs/>
          <w:sz w:val="32"/>
          <w:szCs w:val="32"/>
        </w:rPr>
        <w:t>一</w:t>
      </w:r>
      <w:r>
        <w:rPr>
          <w:rFonts w:ascii="Times New Roman" w:hAnsi="Times New Roman" w:eastAsia="黑体" w:cs="Times New Roman"/>
          <w:bCs/>
          <w:sz w:val="32"/>
          <w:szCs w:val="32"/>
        </w:rPr>
        <w:t>)</w:t>
      </w:r>
      <w:r>
        <w:rPr>
          <w:rFonts w:ascii="Times New Roman" w:hAnsi="黑体" w:eastAsia="黑体" w:cs="Times New Roman"/>
          <w:bCs/>
          <w:sz w:val="32"/>
          <w:szCs w:val="32"/>
        </w:rPr>
        <w:t>基本情况</w:t>
      </w:r>
    </w:p>
    <w:p>
      <w:pPr>
        <w:tabs>
          <w:tab w:val="left" w:pos="795"/>
        </w:tabs>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迪庆香格里拉社会福利中心项目包括迪庆州社会福利院、迪庆州儿童福利院、迪庆州香格里拉县流浪乞讨人员救助管理站、迪庆州救灾物资储备仓库等项目。</w:t>
      </w:r>
    </w:p>
    <w:p>
      <w:pPr>
        <w:tabs>
          <w:tab w:val="left" w:pos="795"/>
        </w:tabs>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1.迪庆州社会福利院、迪庆州儿童福利院建设项目</w:t>
      </w:r>
    </w:p>
    <w:p>
      <w:pPr>
        <w:tabs>
          <w:tab w:val="left" w:pos="795"/>
        </w:tabs>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2012年8月15日，迪庆州发展和改革委员会《关于迪庆州社会福利院建设项目可行性研究报告的批复》（迪发改社会〔2014〕34号），批准项目可研报告。2013年11月25日，迪庆州发展和改革委员会《关于迪庆州儿童福利院迁建项目可行性研究报告的批复》（迪发改社会〔2014〕112号），批准项目可研报告，同意迪庆州儿童福利院迁建至香格里拉县东城区安定路东侧迪庆州香格里拉社会福利中心项目区内建设。</w:t>
      </w:r>
    </w:p>
    <w:p>
      <w:pPr>
        <w:tabs>
          <w:tab w:val="left" w:pos="795"/>
        </w:tabs>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2013年11月9日，迪庆州住房和城乡建设局 迪庆州发展和改革委员会《关于迪庆州社会福利院及儿童福利院建设项目初步设计的批复》（迪建复〔2013〕60号），批准项目初步设计，概算投资1 642.39万元。</w:t>
      </w:r>
    </w:p>
    <w:p>
      <w:pPr>
        <w:tabs>
          <w:tab w:val="left" w:pos="795"/>
        </w:tabs>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迪庆州救灾物资储备仓库建设项目</w:t>
      </w:r>
    </w:p>
    <w:p>
      <w:pPr>
        <w:tabs>
          <w:tab w:val="left" w:pos="795"/>
        </w:tabs>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2013年11月9日，迪庆州住房和城乡建设局 迪庆州发展和改革委员会《关于迪庆州救灾物资储备仓库（二期）建设项目初步设计的批复》（迪建复〔2013〕58号），批准项目初步设计，概算投资800万元。</w:t>
      </w:r>
    </w:p>
    <w:p>
      <w:pPr>
        <w:tabs>
          <w:tab w:val="left" w:pos="795"/>
        </w:tabs>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香格里拉县流浪乞讨救助站建设项目</w:t>
      </w:r>
    </w:p>
    <w:p>
      <w:pPr>
        <w:tabs>
          <w:tab w:val="left" w:pos="795"/>
        </w:tabs>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2012年8月15日，迪庆州发展和改革委员会《关于香格里拉县流浪乞讨救助站建设项目可行性研究报告的批复》（迪发改社会〔2012〕35号），批准项目可研报告。</w:t>
      </w:r>
    </w:p>
    <w:p>
      <w:pPr>
        <w:tabs>
          <w:tab w:val="left" w:pos="795"/>
        </w:tabs>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2013年11月9日，迪庆州住房和城乡建设局 迪庆州发展和改革委员会《关于香格里拉县流浪乞讨救助站建设项目初步设计的批复》（迪建复〔2013〕59号），批准项目初步设计，概算投资502.24万元。</w:t>
      </w:r>
    </w:p>
    <w:p>
      <w:pPr>
        <w:tabs>
          <w:tab w:val="left" w:pos="795"/>
        </w:tabs>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迪庆香格里拉社会福利中心附属设施（一、二期）建设项目</w:t>
      </w:r>
    </w:p>
    <w:p>
      <w:pPr>
        <w:tabs>
          <w:tab w:val="left" w:pos="795"/>
        </w:tabs>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2013年11月22日，迪庆州发展和改革委员会下发《关于迪庆香格里拉社会福利中心附属设施（一期）建设项目立项的批复》（迪发改社会〔2013〕116号），同意项目立项，批复项目估算总投资530万元。</w:t>
      </w:r>
    </w:p>
    <w:p>
      <w:pPr>
        <w:tabs>
          <w:tab w:val="left" w:pos="795"/>
        </w:tabs>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2014年7月17日，迪庆州发展和改革委员会下发《关于迪庆香格里拉社会福利中心附属设施（二期）建设项目立项的批复》（迪发改社会〔2014〕93号），同意项目立项，批复项目估算总投资185万元。</w:t>
      </w:r>
    </w:p>
    <w:p>
      <w:pPr>
        <w:tabs>
          <w:tab w:val="left" w:pos="795"/>
        </w:tabs>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州民政局委托迪庆州建设工程施工图审查中心对项目施工图进行审查，审查结果合格。</w:t>
      </w:r>
    </w:p>
    <w:p>
      <w:pPr>
        <w:tabs>
          <w:tab w:val="left" w:pos="795"/>
        </w:tabs>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2016年12月22日，填制了《建设工程竣工验收备案表》。2018年11月6日，迪庆藏族州民政局 迪庆州工程质量监督站做出《迪庆州社会福利中心工程质量情况报告》（迪民发</w:t>
      </w:r>
      <w:r>
        <w:rPr>
          <w:rFonts w:ascii="Times New Roman" w:hAnsi="Times New Roman" w:eastAsia="方正仿宋_GBK" w:cs="Times New Roman"/>
          <w:sz w:val="32"/>
          <w:szCs w:val="32"/>
        </w:rPr>
        <w:t>﹝</w:t>
      </w:r>
      <w:r>
        <w:rPr>
          <w:rFonts w:ascii="Times New Roman" w:hAnsi="Times New Roman" w:eastAsia="仿宋_GB2312" w:cs="Times New Roman"/>
          <w:sz w:val="32"/>
          <w:szCs w:val="32"/>
        </w:rPr>
        <w:t>2018</w:t>
      </w:r>
      <w:r>
        <w:rPr>
          <w:rFonts w:ascii="Times New Roman" w:hAnsi="Times New Roman" w:eastAsia="方正仿宋_GBK" w:cs="Times New Roman"/>
          <w:sz w:val="32"/>
          <w:szCs w:val="32"/>
        </w:rPr>
        <w:t>﹞</w:t>
      </w:r>
      <w:r>
        <w:rPr>
          <w:rFonts w:ascii="Times New Roman" w:hAnsi="Times New Roman" w:eastAsia="仿宋_GB2312" w:cs="Times New Roman"/>
          <w:sz w:val="32"/>
          <w:szCs w:val="32"/>
        </w:rPr>
        <w:t>256号）出具了：“通过现场检测、查看施工图片、隐蔽工程、监理日志，项目资料齐全、施工图片、隐蔽工程、监理日志完整，未发现主体房屋质量不合格·······特做出福利中心质量报告“的意见。</w:t>
      </w:r>
    </w:p>
    <w:p>
      <w:pPr>
        <w:tabs>
          <w:tab w:val="left" w:pos="795"/>
        </w:tabs>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审计结果表明：该项目建设程序基本符合规定，财务管理及会计核算基本规范，财务收支基本真实。但审计也发现了多计工程投资的问题。</w:t>
      </w:r>
    </w:p>
    <w:p>
      <w:pPr>
        <w:spacing w:line="560" w:lineRule="exact"/>
        <w:ind w:firstLine="601" w:firstLineChars="188"/>
        <w:rPr>
          <w:rFonts w:ascii="Times New Roman" w:hAnsi="Times New Roman" w:eastAsia="黑体" w:cs="Times New Roman"/>
          <w:sz w:val="32"/>
          <w:szCs w:val="32"/>
        </w:rPr>
      </w:pPr>
      <w:r>
        <w:rPr>
          <w:rFonts w:ascii="Times New Roman" w:hAnsi="黑体" w:eastAsia="黑体" w:cs="Times New Roman"/>
          <w:sz w:val="32"/>
          <w:szCs w:val="32"/>
        </w:rPr>
        <w:t>（二）审计发现的主要问题</w:t>
      </w:r>
    </w:p>
    <w:p>
      <w:pPr>
        <w:tabs>
          <w:tab w:val="left" w:pos="795"/>
        </w:tabs>
        <w:spacing w:line="560" w:lineRule="exact"/>
        <w:ind w:firstLine="672" w:firstLineChars="210"/>
        <w:rPr>
          <w:rFonts w:ascii="Times New Roman" w:hAnsi="Times New Roman" w:eastAsia="仿宋_GB2312" w:cs="Times New Roman"/>
          <w:b/>
          <w:sz w:val="32"/>
          <w:szCs w:val="32"/>
        </w:rPr>
      </w:pPr>
      <w:r>
        <w:rPr>
          <w:rFonts w:ascii="Times New Roman" w:hAnsi="Times New Roman" w:eastAsia="仿宋_GB2312" w:cs="Times New Roman"/>
          <w:sz w:val="32"/>
          <w:szCs w:val="32"/>
        </w:rPr>
        <w:t>工程结算多计工程投资2 626 299.39元。</w:t>
      </w:r>
    </w:p>
    <w:p>
      <w:pPr>
        <w:spacing w:line="560" w:lineRule="exact"/>
        <w:ind w:firstLine="601" w:firstLineChars="188"/>
        <w:rPr>
          <w:rFonts w:ascii="Times New Roman" w:hAnsi="Times New Roman" w:eastAsia="黑体" w:cs="Times New Roman"/>
          <w:sz w:val="32"/>
          <w:szCs w:val="32"/>
        </w:rPr>
      </w:pPr>
      <w:r>
        <w:rPr>
          <w:rFonts w:ascii="Times New Roman" w:hAnsi="黑体" w:eastAsia="黑体" w:cs="Times New Roman"/>
          <w:sz w:val="32"/>
          <w:szCs w:val="32"/>
        </w:rPr>
        <w:t>（三）审计处理及整改情况</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责成依法进行整改，按规定进行账务调整，该问题审计期间已完成整改。</w:t>
      </w:r>
    </w:p>
    <w:p>
      <w:pPr>
        <w:spacing w:line="560" w:lineRule="exact"/>
        <w:ind w:firstLine="640" w:firstLineChars="200"/>
        <w:rPr>
          <w:rFonts w:ascii="Times New Roman" w:hAnsi="Times New Roman" w:eastAsia="黑体" w:cs="Times New Roman"/>
          <w:bCs/>
          <w:sz w:val="32"/>
          <w:szCs w:val="32"/>
        </w:rPr>
      </w:pPr>
      <w:r>
        <w:rPr>
          <w:rFonts w:ascii="Times New Roman" w:hAnsi="黑体" w:eastAsia="黑体" w:cs="Times New Roman"/>
          <w:bCs/>
          <w:sz w:val="32"/>
          <w:szCs w:val="32"/>
        </w:rPr>
        <w:t>十一、迪庆州文化馆综合业务楼建设项目工程竣工决算审计</w:t>
      </w:r>
      <w:r>
        <w:rPr>
          <w:rFonts w:ascii="Times New Roman" w:hAnsi="黑体" w:eastAsia="黑体" w:cs="Times New Roman"/>
          <w:sz w:val="32"/>
          <w:szCs w:val="32"/>
        </w:rPr>
        <w:t>结果</w:t>
      </w:r>
    </w:p>
    <w:p>
      <w:pPr>
        <w:spacing w:line="560" w:lineRule="exact"/>
        <w:ind w:firstLine="640" w:firstLineChars="200"/>
        <w:rPr>
          <w:rFonts w:ascii="Times New Roman" w:hAnsi="Times New Roman" w:eastAsia="黑体" w:cs="Times New Roman"/>
          <w:bCs/>
          <w:sz w:val="32"/>
          <w:szCs w:val="32"/>
        </w:rPr>
      </w:pPr>
      <w:r>
        <w:rPr>
          <w:rFonts w:ascii="Times New Roman" w:hAnsi="黑体" w:eastAsia="黑体" w:cs="Times New Roman"/>
          <w:bCs/>
          <w:sz w:val="32"/>
          <w:szCs w:val="32"/>
        </w:rPr>
        <w:t>（一）基本情况</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2012年12月7日，云南省发展和改革委员会《关于迪庆州文化馆建设项目可行性研究报告的批复》（云发改社会〔2012〕2323号），批准建设项目可研报告。</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2013年4月15日，迪庆州住房和城乡建设局 迪庆州发展和改革委员会《关于迪庆州文化馆建设项目初步设计的批复》（迪建复〔2013〕15号），批准项目初步设计，批准总建筑面积 5 640.3平方米，项目概算投资2 599.86万元。</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为确保项目顺利实施，2012年12月成立了迪庆州民族文化广场建设项目指挥部，负责项目建设工作的协调、领导、管理和监督工作。</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该建设项目于2013年7月1日开工，2014年8月7日通过验收，验收结果为合格；初装修及采暖风工程于2014年4月1日开工，2014年8月7日竣工，验收结果为合格；该建设项目桩基工程于2013年5月27日开工，2013年7月16日通过验收，验收结果为合格。</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审计结果表明：该建设项目建设程序基本符合规定，财务管理及会计核算基本规范，财务收支基本真实。但存在工程结算多计工程投资、初步设计发生变更，未及时办理相关报批手续等问题。但审计也发现了多计工程投资及初步设计发生变更，未及时办理相关报批手续等问题。</w:t>
      </w:r>
    </w:p>
    <w:p>
      <w:pPr>
        <w:spacing w:line="560" w:lineRule="exact"/>
        <w:ind w:firstLine="601" w:firstLineChars="188"/>
        <w:rPr>
          <w:rFonts w:ascii="Times New Roman" w:hAnsi="Times New Roman" w:eastAsia="黑体" w:cs="Times New Roman"/>
          <w:sz w:val="32"/>
          <w:szCs w:val="32"/>
        </w:rPr>
      </w:pPr>
      <w:r>
        <w:rPr>
          <w:rFonts w:ascii="Times New Roman" w:hAnsi="黑体" w:eastAsia="黑体" w:cs="Times New Roman"/>
          <w:sz w:val="32"/>
          <w:szCs w:val="32"/>
        </w:rPr>
        <w:t>（二）审计发现的主要问题</w:t>
      </w:r>
    </w:p>
    <w:p>
      <w:pPr>
        <w:tabs>
          <w:tab w:val="left" w:pos="795"/>
        </w:tabs>
        <w:spacing w:line="560" w:lineRule="exact"/>
        <w:ind w:firstLine="672" w:firstLineChars="210"/>
        <w:rPr>
          <w:rFonts w:ascii="Times New Roman" w:hAnsi="Times New Roman" w:eastAsia="仿宋_GB2312" w:cs="Times New Roman"/>
          <w:sz w:val="32"/>
          <w:szCs w:val="32"/>
        </w:rPr>
      </w:pPr>
      <w:r>
        <w:rPr>
          <w:rFonts w:ascii="Times New Roman" w:hAnsi="Times New Roman" w:eastAsia="仿宋_GB2312" w:cs="Times New Roman"/>
          <w:sz w:val="32"/>
          <w:szCs w:val="32"/>
        </w:rPr>
        <w:t>1. 工程结算多计工程投资1 203 251.01元；</w:t>
      </w:r>
    </w:p>
    <w:p>
      <w:pPr>
        <w:tabs>
          <w:tab w:val="left" w:pos="795"/>
        </w:tabs>
        <w:spacing w:line="560" w:lineRule="exact"/>
        <w:ind w:firstLine="672" w:firstLineChars="210"/>
        <w:rPr>
          <w:rFonts w:ascii="Times New Roman" w:hAnsi="Times New Roman" w:eastAsia="仿宋_GB2312" w:cs="Times New Roman"/>
          <w:sz w:val="32"/>
          <w:szCs w:val="32"/>
        </w:rPr>
      </w:pPr>
      <w:r>
        <w:rPr>
          <w:rFonts w:ascii="Times New Roman" w:hAnsi="Times New Roman" w:eastAsia="仿宋_GB2312" w:cs="Times New Roman"/>
          <w:sz w:val="32"/>
          <w:szCs w:val="32"/>
        </w:rPr>
        <w:t>2. 初步设计发生变更，未及时办理相关报批手续。</w:t>
      </w:r>
    </w:p>
    <w:p>
      <w:pPr>
        <w:spacing w:line="560" w:lineRule="exact"/>
        <w:ind w:firstLine="601" w:firstLineChars="188"/>
        <w:rPr>
          <w:rFonts w:ascii="Times New Roman" w:hAnsi="Times New Roman" w:eastAsia="黑体" w:cs="Times New Roman"/>
          <w:sz w:val="32"/>
          <w:szCs w:val="32"/>
        </w:rPr>
      </w:pPr>
      <w:r>
        <w:rPr>
          <w:rFonts w:ascii="Times New Roman" w:hAnsi="黑体" w:eastAsia="黑体" w:cs="Times New Roman"/>
          <w:sz w:val="32"/>
          <w:szCs w:val="32"/>
        </w:rPr>
        <w:t>（三）审计处理及整改情况</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1.责成依法进行整改，按规定进行账务调整，该问题审计期间完成整改。</w:t>
      </w:r>
    </w:p>
    <w:p>
      <w:pPr>
        <w:spacing w:line="56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2.责成指挥部完善相关设计变更及报批手续程序。该问题指挥部已做专题说明。</w:t>
      </w:r>
    </w:p>
    <w:p>
      <w:pPr>
        <w:spacing w:line="560" w:lineRule="exact"/>
        <w:ind w:firstLine="640" w:firstLineChars="200"/>
        <w:rPr>
          <w:rFonts w:ascii="Times New Roman" w:hAnsi="Times New Roman" w:eastAsia="仿宋_GB2312" w:cs="Times New Roman"/>
          <w:sz w:val="32"/>
          <w:szCs w:val="32"/>
        </w:rPr>
      </w:pPr>
    </w:p>
    <w:p>
      <w:pPr>
        <w:spacing w:line="560" w:lineRule="exact"/>
        <w:rPr>
          <w:rFonts w:hint="eastAsia" w:ascii="仿宋_GB2312" w:hAnsi="方正楷体_GBK" w:eastAsia="仿宋_GB2312" w:cs="方正楷体_GBK"/>
          <w:sz w:val="32"/>
          <w:szCs w:val="32"/>
        </w:rPr>
      </w:pPr>
    </w:p>
    <w:sectPr>
      <w:footerReference r:id="rId3" w:type="default"/>
      <w:pgSz w:w="11906" w:h="16838"/>
      <w:pgMar w:top="1440" w:right="1800" w:bottom="1440" w:left="1800" w:header="851" w:footer="992" w:gutter="0"/>
      <w:pgNumType w:fmt="decimal" w:start="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方正小标宋_GBK">
    <w:panose1 w:val="03000509000000000000"/>
    <w:charset w:val="86"/>
    <w:family w:val="script"/>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黑体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rPr>
        <w:sz w:val="18"/>
      </w:rPr>
      <w:pict>
        <v:shape id="_x0000_s3074" o:spid="_x0000_s3074"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rPr>
                    <w:rFonts w:hint="eastAsia" w:eastAsiaTheme="minorEastAsia"/>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r>
                  <w:rPr>
                    <w:rFonts w:hint="eastAsia"/>
                    <w:lang w:eastAsia="zh-CN"/>
                  </w:rPr>
                  <w:t xml:space="preserve"> —</w:t>
                </w:r>
              </w:p>
            </w:txbxContent>
          </v:textbox>
        </v:shape>
      </w:pic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DE5944A"/>
    <w:multiLevelType w:val="singleLevel"/>
    <w:tmpl w:val="DDE5944A"/>
    <w:lvl w:ilvl="0" w:tentative="0">
      <w:start w:val="2"/>
      <w:numFmt w:val="chineseCounting"/>
      <w:suff w:val="nothing"/>
      <w:lvlText w:val="（%1）"/>
      <w:lvlJc w:val="left"/>
      <w:rPr>
        <w:rFonts w:hint="eastAsia"/>
      </w:rPr>
    </w:lvl>
  </w:abstractNum>
  <w:abstractNum w:abstractNumId="1">
    <w:nsid w:val="420E2DE8"/>
    <w:multiLevelType w:val="singleLevel"/>
    <w:tmpl w:val="420E2DE8"/>
    <w:lvl w:ilvl="0" w:tentative="0">
      <w:start w:val="2"/>
      <w:numFmt w:val="chineseCounting"/>
      <w:suff w:val="nothing"/>
      <w:lvlText w:val="（%1）"/>
      <w:lvlJc w:val="left"/>
      <w:rPr>
        <w:rFonts w:hint="eastAsia"/>
      </w:rPr>
    </w:lvl>
  </w:abstractNum>
  <w:abstractNum w:abstractNumId="2">
    <w:nsid w:val="44E50B45"/>
    <w:multiLevelType w:val="singleLevel"/>
    <w:tmpl w:val="44E50B45"/>
    <w:lvl w:ilvl="0" w:tentative="0">
      <w:start w:val="2"/>
      <w:numFmt w:val="chineseCounting"/>
      <w:suff w:val="nothing"/>
      <w:lvlText w:val="（%1）"/>
      <w:lvlJc w:val="left"/>
      <w:pPr>
        <w:ind w:left="568" w:firstLine="0"/>
      </w:pPr>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20AF24D3"/>
    <w:rsid w:val="0008749A"/>
    <w:rsid w:val="000B56B9"/>
    <w:rsid w:val="000C3EBB"/>
    <w:rsid w:val="000F7CC3"/>
    <w:rsid w:val="00103628"/>
    <w:rsid w:val="0011270A"/>
    <w:rsid w:val="001128EB"/>
    <w:rsid w:val="0013228B"/>
    <w:rsid w:val="001327DA"/>
    <w:rsid w:val="00137461"/>
    <w:rsid w:val="001D08C4"/>
    <w:rsid w:val="001D7A1E"/>
    <w:rsid w:val="00207720"/>
    <w:rsid w:val="00211504"/>
    <w:rsid w:val="0023182C"/>
    <w:rsid w:val="00231CA4"/>
    <w:rsid w:val="002A2C92"/>
    <w:rsid w:val="002C1001"/>
    <w:rsid w:val="002C27C0"/>
    <w:rsid w:val="002C2846"/>
    <w:rsid w:val="00311B91"/>
    <w:rsid w:val="00350A64"/>
    <w:rsid w:val="00392F2F"/>
    <w:rsid w:val="003C2A28"/>
    <w:rsid w:val="003C6849"/>
    <w:rsid w:val="003D1017"/>
    <w:rsid w:val="003E22FF"/>
    <w:rsid w:val="00404C04"/>
    <w:rsid w:val="0043047D"/>
    <w:rsid w:val="00481D64"/>
    <w:rsid w:val="00482E46"/>
    <w:rsid w:val="004C67FD"/>
    <w:rsid w:val="004D3803"/>
    <w:rsid w:val="004E72D4"/>
    <w:rsid w:val="004F2131"/>
    <w:rsid w:val="00553936"/>
    <w:rsid w:val="00560138"/>
    <w:rsid w:val="005836B3"/>
    <w:rsid w:val="005C243C"/>
    <w:rsid w:val="005F73F7"/>
    <w:rsid w:val="006076F9"/>
    <w:rsid w:val="00667E73"/>
    <w:rsid w:val="00673BFC"/>
    <w:rsid w:val="006C7754"/>
    <w:rsid w:val="006D1D01"/>
    <w:rsid w:val="006F6BC4"/>
    <w:rsid w:val="007042ED"/>
    <w:rsid w:val="0071719E"/>
    <w:rsid w:val="007415C1"/>
    <w:rsid w:val="00766808"/>
    <w:rsid w:val="00780C6F"/>
    <w:rsid w:val="007B1255"/>
    <w:rsid w:val="007F061F"/>
    <w:rsid w:val="00801176"/>
    <w:rsid w:val="00853037"/>
    <w:rsid w:val="00884913"/>
    <w:rsid w:val="008B548E"/>
    <w:rsid w:val="009236F9"/>
    <w:rsid w:val="00984306"/>
    <w:rsid w:val="009A46B6"/>
    <w:rsid w:val="009C0355"/>
    <w:rsid w:val="00A61F28"/>
    <w:rsid w:val="00AA1CB4"/>
    <w:rsid w:val="00AC181A"/>
    <w:rsid w:val="00AD408B"/>
    <w:rsid w:val="00B20756"/>
    <w:rsid w:val="00B35158"/>
    <w:rsid w:val="00B8400A"/>
    <w:rsid w:val="00B97099"/>
    <w:rsid w:val="00BA3ED6"/>
    <w:rsid w:val="00C348A0"/>
    <w:rsid w:val="00C718DF"/>
    <w:rsid w:val="00C77D1C"/>
    <w:rsid w:val="00C83EC3"/>
    <w:rsid w:val="00CC58A7"/>
    <w:rsid w:val="00CC6CE6"/>
    <w:rsid w:val="00D1338E"/>
    <w:rsid w:val="00D60833"/>
    <w:rsid w:val="00D64E81"/>
    <w:rsid w:val="00D667F8"/>
    <w:rsid w:val="00D76486"/>
    <w:rsid w:val="00D76FE4"/>
    <w:rsid w:val="00E12DA2"/>
    <w:rsid w:val="00E451EE"/>
    <w:rsid w:val="00E50607"/>
    <w:rsid w:val="00E57D78"/>
    <w:rsid w:val="00EB2A81"/>
    <w:rsid w:val="00EE250D"/>
    <w:rsid w:val="00F24134"/>
    <w:rsid w:val="00F7277D"/>
    <w:rsid w:val="00F81B69"/>
    <w:rsid w:val="00F9253B"/>
    <w:rsid w:val="00F95556"/>
    <w:rsid w:val="00F97A40"/>
    <w:rsid w:val="00FA54FF"/>
    <w:rsid w:val="00FD77A3"/>
    <w:rsid w:val="00FF3A43"/>
    <w:rsid w:val="00FF5355"/>
    <w:rsid w:val="01094B94"/>
    <w:rsid w:val="016B0AB7"/>
    <w:rsid w:val="0242673D"/>
    <w:rsid w:val="02743E6C"/>
    <w:rsid w:val="028C5DE8"/>
    <w:rsid w:val="03BF209A"/>
    <w:rsid w:val="03FF645A"/>
    <w:rsid w:val="0509583C"/>
    <w:rsid w:val="057B77E7"/>
    <w:rsid w:val="06136AAC"/>
    <w:rsid w:val="063F1EEB"/>
    <w:rsid w:val="0688372A"/>
    <w:rsid w:val="068B2414"/>
    <w:rsid w:val="06E02FB4"/>
    <w:rsid w:val="078F44D1"/>
    <w:rsid w:val="07D740E1"/>
    <w:rsid w:val="08305F17"/>
    <w:rsid w:val="09240318"/>
    <w:rsid w:val="09E72774"/>
    <w:rsid w:val="0A160EF1"/>
    <w:rsid w:val="0A3A7C5C"/>
    <w:rsid w:val="0A522918"/>
    <w:rsid w:val="0B29703A"/>
    <w:rsid w:val="0B9C6705"/>
    <w:rsid w:val="0BDF70B4"/>
    <w:rsid w:val="0BF836EA"/>
    <w:rsid w:val="0C31104F"/>
    <w:rsid w:val="0C526585"/>
    <w:rsid w:val="0C6033BA"/>
    <w:rsid w:val="0CA653AD"/>
    <w:rsid w:val="0CC124A3"/>
    <w:rsid w:val="0D5F4314"/>
    <w:rsid w:val="0D914280"/>
    <w:rsid w:val="0DD1683D"/>
    <w:rsid w:val="0E270494"/>
    <w:rsid w:val="0E3408BA"/>
    <w:rsid w:val="0E843047"/>
    <w:rsid w:val="0EB21D7B"/>
    <w:rsid w:val="0EB36A69"/>
    <w:rsid w:val="0F803999"/>
    <w:rsid w:val="0FC07BF9"/>
    <w:rsid w:val="11621A23"/>
    <w:rsid w:val="11DC34BB"/>
    <w:rsid w:val="12FE3076"/>
    <w:rsid w:val="133B25C0"/>
    <w:rsid w:val="133D27D4"/>
    <w:rsid w:val="13C52A6C"/>
    <w:rsid w:val="141B0891"/>
    <w:rsid w:val="1441009F"/>
    <w:rsid w:val="14983154"/>
    <w:rsid w:val="14BF37F8"/>
    <w:rsid w:val="14CB7B15"/>
    <w:rsid w:val="14D70A1E"/>
    <w:rsid w:val="154E41E8"/>
    <w:rsid w:val="15BB0C40"/>
    <w:rsid w:val="16775EB2"/>
    <w:rsid w:val="16941E53"/>
    <w:rsid w:val="175A3FDB"/>
    <w:rsid w:val="17BD6F5A"/>
    <w:rsid w:val="181F26E7"/>
    <w:rsid w:val="1901279A"/>
    <w:rsid w:val="19643505"/>
    <w:rsid w:val="1AC91AC8"/>
    <w:rsid w:val="1BA40028"/>
    <w:rsid w:val="1C0446B7"/>
    <w:rsid w:val="1C34072E"/>
    <w:rsid w:val="1C685F3E"/>
    <w:rsid w:val="1C6909B6"/>
    <w:rsid w:val="1C9A0360"/>
    <w:rsid w:val="1D3618BB"/>
    <w:rsid w:val="1D571C02"/>
    <w:rsid w:val="1D5C7A98"/>
    <w:rsid w:val="1D973A4B"/>
    <w:rsid w:val="1DBE7600"/>
    <w:rsid w:val="1E270026"/>
    <w:rsid w:val="1E2D06B9"/>
    <w:rsid w:val="1E6C35C2"/>
    <w:rsid w:val="1E746B0C"/>
    <w:rsid w:val="1EB64872"/>
    <w:rsid w:val="1ECA1E6F"/>
    <w:rsid w:val="1F5639A2"/>
    <w:rsid w:val="20046921"/>
    <w:rsid w:val="20422E90"/>
    <w:rsid w:val="2061463B"/>
    <w:rsid w:val="20AF24D3"/>
    <w:rsid w:val="21304AAA"/>
    <w:rsid w:val="215073DA"/>
    <w:rsid w:val="216E227E"/>
    <w:rsid w:val="218D2170"/>
    <w:rsid w:val="21D27025"/>
    <w:rsid w:val="21E71F0D"/>
    <w:rsid w:val="22041206"/>
    <w:rsid w:val="237D0B31"/>
    <w:rsid w:val="241D37CA"/>
    <w:rsid w:val="243D2125"/>
    <w:rsid w:val="24804E78"/>
    <w:rsid w:val="24C57A0B"/>
    <w:rsid w:val="25286117"/>
    <w:rsid w:val="253F5F8A"/>
    <w:rsid w:val="257A5F86"/>
    <w:rsid w:val="284E52A0"/>
    <w:rsid w:val="284E7B95"/>
    <w:rsid w:val="28DA5CA8"/>
    <w:rsid w:val="290B2708"/>
    <w:rsid w:val="29BF5A59"/>
    <w:rsid w:val="2A2C70BA"/>
    <w:rsid w:val="2A57317C"/>
    <w:rsid w:val="2AC66B0D"/>
    <w:rsid w:val="2ADB098C"/>
    <w:rsid w:val="2B0A1169"/>
    <w:rsid w:val="2B1754C5"/>
    <w:rsid w:val="2B3C39A2"/>
    <w:rsid w:val="2C6D442B"/>
    <w:rsid w:val="2C9F7BD3"/>
    <w:rsid w:val="2CA13F03"/>
    <w:rsid w:val="2CFB63C0"/>
    <w:rsid w:val="2D1A3004"/>
    <w:rsid w:val="2D1C74CA"/>
    <w:rsid w:val="2DA75F91"/>
    <w:rsid w:val="2DF76DD5"/>
    <w:rsid w:val="2E5D10C9"/>
    <w:rsid w:val="2E971B83"/>
    <w:rsid w:val="2EBF5FDB"/>
    <w:rsid w:val="2ED868EA"/>
    <w:rsid w:val="2F0A4CEC"/>
    <w:rsid w:val="2FE246E2"/>
    <w:rsid w:val="30001176"/>
    <w:rsid w:val="300D370B"/>
    <w:rsid w:val="303E097A"/>
    <w:rsid w:val="30A6088B"/>
    <w:rsid w:val="3297691F"/>
    <w:rsid w:val="32EF094F"/>
    <w:rsid w:val="33383977"/>
    <w:rsid w:val="337D1D82"/>
    <w:rsid w:val="33D13A01"/>
    <w:rsid w:val="33FC4E14"/>
    <w:rsid w:val="3415738E"/>
    <w:rsid w:val="34193239"/>
    <w:rsid w:val="35277CC1"/>
    <w:rsid w:val="354E4361"/>
    <w:rsid w:val="356D7D00"/>
    <w:rsid w:val="357E6303"/>
    <w:rsid w:val="366A57A9"/>
    <w:rsid w:val="36A97545"/>
    <w:rsid w:val="37356A78"/>
    <w:rsid w:val="376934F6"/>
    <w:rsid w:val="379E77F5"/>
    <w:rsid w:val="37CF0FBB"/>
    <w:rsid w:val="38392C09"/>
    <w:rsid w:val="384B784B"/>
    <w:rsid w:val="38EF7A58"/>
    <w:rsid w:val="391870B2"/>
    <w:rsid w:val="39542BF1"/>
    <w:rsid w:val="39D859F6"/>
    <w:rsid w:val="3A303945"/>
    <w:rsid w:val="3A9D401F"/>
    <w:rsid w:val="3AE335AD"/>
    <w:rsid w:val="3B6E1D1A"/>
    <w:rsid w:val="3B7027CC"/>
    <w:rsid w:val="3C2F24FD"/>
    <w:rsid w:val="3CC21D82"/>
    <w:rsid w:val="3CD65C88"/>
    <w:rsid w:val="3DBA4915"/>
    <w:rsid w:val="3E466036"/>
    <w:rsid w:val="3E8B58EA"/>
    <w:rsid w:val="3E921B08"/>
    <w:rsid w:val="3F055075"/>
    <w:rsid w:val="3F084148"/>
    <w:rsid w:val="3F420C2A"/>
    <w:rsid w:val="3FA312EA"/>
    <w:rsid w:val="408E0DD7"/>
    <w:rsid w:val="41614AB7"/>
    <w:rsid w:val="41B41832"/>
    <w:rsid w:val="41C42300"/>
    <w:rsid w:val="41C56D2B"/>
    <w:rsid w:val="41E5276E"/>
    <w:rsid w:val="41FE1B9B"/>
    <w:rsid w:val="434925E5"/>
    <w:rsid w:val="438D6969"/>
    <w:rsid w:val="44706B22"/>
    <w:rsid w:val="44F55F6F"/>
    <w:rsid w:val="467712F2"/>
    <w:rsid w:val="46CB5F77"/>
    <w:rsid w:val="46CD0071"/>
    <w:rsid w:val="470D25F9"/>
    <w:rsid w:val="471F7819"/>
    <w:rsid w:val="47325F23"/>
    <w:rsid w:val="47DD603A"/>
    <w:rsid w:val="480071F3"/>
    <w:rsid w:val="48223E8C"/>
    <w:rsid w:val="483F38C1"/>
    <w:rsid w:val="48A92EDD"/>
    <w:rsid w:val="48E04A57"/>
    <w:rsid w:val="49922084"/>
    <w:rsid w:val="49A170B0"/>
    <w:rsid w:val="4A1510AC"/>
    <w:rsid w:val="4AD054F0"/>
    <w:rsid w:val="4AED7911"/>
    <w:rsid w:val="4C1B43F4"/>
    <w:rsid w:val="4C401674"/>
    <w:rsid w:val="4C4F3217"/>
    <w:rsid w:val="4C8E54BC"/>
    <w:rsid w:val="4C8F2426"/>
    <w:rsid w:val="4CE67AEC"/>
    <w:rsid w:val="4D757F8D"/>
    <w:rsid w:val="4E007850"/>
    <w:rsid w:val="4E037769"/>
    <w:rsid w:val="4E2551D4"/>
    <w:rsid w:val="4F2B7532"/>
    <w:rsid w:val="4FAB7576"/>
    <w:rsid w:val="50285652"/>
    <w:rsid w:val="503D6858"/>
    <w:rsid w:val="508C5EEB"/>
    <w:rsid w:val="5184553A"/>
    <w:rsid w:val="51D112E0"/>
    <w:rsid w:val="52012548"/>
    <w:rsid w:val="526B1C4F"/>
    <w:rsid w:val="528E27E1"/>
    <w:rsid w:val="52AD6D29"/>
    <w:rsid w:val="52AE267A"/>
    <w:rsid w:val="5339737C"/>
    <w:rsid w:val="537C3C6A"/>
    <w:rsid w:val="54500CBA"/>
    <w:rsid w:val="54625450"/>
    <w:rsid w:val="578F5ADD"/>
    <w:rsid w:val="57BC15F8"/>
    <w:rsid w:val="57E426C4"/>
    <w:rsid w:val="584B5465"/>
    <w:rsid w:val="587B1967"/>
    <w:rsid w:val="59526186"/>
    <w:rsid w:val="59570806"/>
    <w:rsid w:val="595F0A89"/>
    <w:rsid w:val="599A2EBE"/>
    <w:rsid w:val="59D62302"/>
    <w:rsid w:val="59F1379F"/>
    <w:rsid w:val="5A03078D"/>
    <w:rsid w:val="5AD71137"/>
    <w:rsid w:val="5B167E4C"/>
    <w:rsid w:val="5B433F9F"/>
    <w:rsid w:val="5C6B23CC"/>
    <w:rsid w:val="5C91680F"/>
    <w:rsid w:val="5CC15A19"/>
    <w:rsid w:val="5DD36BFC"/>
    <w:rsid w:val="5DFE608A"/>
    <w:rsid w:val="5E3D2DF5"/>
    <w:rsid w:val="5EDB0DE2"/>
    <w:rsid w:val="5F4422BB"/>
    <w:rsid w:val="5FB137A3"/>
    <w:rsid w:val="5FBA1A79"/>
    <w:rsid w:val="60261788"/>
    <w:rsid w:val="608337E2"/>
    <w:rsid w:val="60AD596A"/>
    <w:rsid w:val="60AE77A1"/>
    <w:rsid w:val="61374080"/>
    <w:rsid w:val="617D3430"/>
    <w:rsid w:val="617F3938"/>
    <w:rsid w:val="621F5D7D"/>
    <w:rsid w:val="6277075D"/>
    <w:rsid w:val="6293552D"/>
    <w:rsid w:val="62DB4FF9"/>
    <w:rsid w:val="633F4F3F"/>
    <w:rsid w:val="634E1A2F"/>
    <w:rsid w:val="6409464C"/>
    <w:rsid w:val="644A0581"/>
    <w:rsid w:val="64FE2C63"/>
    <w:rsid w:val="65097DF1"/>
    <w:rsid w:val="66900B0F"/>
    <w:rsid w:val="66C94AB5"/>
    <w:rsid w:val="671B7AEA"/>
    <w:rsid w:val="676C57F8"/>
    <w:rsid w:val="68064B4D"/>
    <w:rsid w:val="6839010B"/>
    <w:rsid w:val="68547E07"/>
    <w:rsid w:val="69025E5E"/>
    <w:rsid w:val="69FF5D0D"/>
    <w:rsid w:val="6A130BCB"/>
    <w:rsid w:val="6A1D79AF"/>
    <w:rsid w:val="6AAF4500"/>
    <w:rsid w:val="6AE96B6E"/>
    <w:rsid w:val="6AF94B62"/>
    <w:rsid w:val="6B4931BA"/>
    <w:rsid w:val="6B9323C9"/>
    <w:rsid w:val="6C590205"/>
    <w:rsid w:val="6CDE091E"/>
    <w:rsid w:val="6D433C69"/>
    <w:rsid w:val="6DA07F69"/>
    <w:rsid w:val="6DCE698B"/>
    <w:rsid w:val="6E0A303D"/>
    <w:rsid w:val="6E520219"/>
    <w:rsid w:val="6EF90F49"/>
    <w:rsid w:val="6F347C8F"/>
    <w:rsid w:val="6F4E6CA0"/>
    <w:rsid w:val="6F8B1BCD"/>
    <w:rsid w:val="6FBA6359"/>
    <w:rsid w:val="6FC91153"/>
    <w:rsid w:val="70657941"/>
    <w:rsid w:val="70772F41"/>
    <w:rsid w:val="70B3589A"/>
    <w:rsid w:val="70B73694"/>
    <w:rsid w:val="70E756B4"/>
    <w:rsid w:val="7147338B"/>
    <w:rsid w:val="715B01B4"/>
    <w:rsid w:val="722C1074"/>
    <w:rsid w:val="729C3790"/>
    <w:rsid w:val="72D1707B"/>
    <w:rsid w:val="72D17A92"/>
    <w:rsid w:val="74086B1F"/>
    <w:rsid w:val="742553A2"/>
    <w:rsid w:val="74483A7A"/>
    <w:rsid w:val="744A6ED7"/>
    <w:rsid w:val="751F2E39"/>
    <w:rsid w:val="7578522E"/>
    <w:rsid w:val="75C73EA8"/>
    <w:rsid w:val="762B36CF"/>
    <w:rsid w:val="76635C1A"/>
    <w:rsid w:val="76DE3AE6"/>
    <w:rsid w:val="78DC71E5"/>
    <w:rsid w:val="78E24696"/>
    <w:rsid w:val="78EB139E"/>
    <w:rsid w:val="793C3AFC"/>
    <w:rsid w:val="79AF282A"/>
    <w:rsid w:val="79BD580C"/>
    <w:rsid w:val="7A156C88"/>
    <w:rsid w:val="7A5B0CC2"/>
    <w:rsid w:val="7AB16FC3"/>
    <w:rsid w:val="7B262222"/>
    <w:rsid w:val="7B2C6242"/>
    <w:rsid w:val="7B595A13"/>
    <w:rsid w:val="7B8C2B7A"/>
    <w:rsid w:val="7C133E73"/>
    <w:rsid w:val="7CBD480B"/>
    <w:rsid w:val="7D440633"/>
    <w:rsid w:val="7DC5770A"/>
    <w:rsid w:val="7DD36D06"/>
    <w:rsid w:val="7E1815E7"/>
    <w:rsid w:val="7E5C3489"/>
    <w:rsid w:val="7F0B406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rPr>
      <w:sz w:val="24"/>
    </w:rPr>
  </w:style>
  <w:style w:type="character" w:customStyle="1" w:styleId="8">
    <w:name w:val="页眉 Char"/>
    <w:basedOn w:val="7"/>
    <w:link w:val="4"/>
    <w:uiPriority w:val="0"/>
    <w:rPr>
      <w:rFonts w:asciiTheme="minorHAnsi" w:hAnsiTheme="minorHAnsi" w:eastAsiaTheme="minorEastAsia" w:cstheme="minorBidi"/>
      <w:kern w:val="2"/>
      <w:sz w:val="18"/>
      <w:szCs w:val="18"/>
    </w:rPr>
  </w:style>
  <w:style w:type="character" w:customStyle="1" w:styleId="9">
    <w:name w:val="页脚 Char"/>
    <w:basedOn w:val="7"/>
    <w:link w:val="3"/>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3074" textRotate="1"/>
    <customShpInfo spid="_x0000_s2050"/>
    <customShpInfo spid="_x0000_s2051"/>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云南省审计厅</Company>
  <Pages>26</Pages>
  <Words>1849</Words>
  <Characters>10543</Characters>
  <Lines>87</Lines>
  <Paragraphs>24</Paragraphs>
  <TotalTime>0</TotalTime>
  <ScaleCrop>false</ScaleCrop>
  <LinksUpToDate>false</LinksUpToDate>
  <CharactersWithSpaces>12368</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2020-08-04T09:14:00Z</dcterms:created>
  <dc:creator>周立俊</dc:creator>
  <cp:lastModifiedBy>扎史此里</cp:lastModifiedBy>
  <cp:lastPrinted>2020-08-10T08:03:00Z</cp:lastPrinted>
  <dcterms:modified xsi:type="dcterms:W3CDTF">2020-11-15T04:32:16Z</dcterms:modified>
  <cp:revision>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