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drawing>
          <wp:inline distT="0" distB="0" distL="114300" distR="114300">
            <wp:extent cx="5704840" cy="1931035"/>
            <wp:effectExtent l="0" t="0" r="10160" b="12065"/>
            <wp:docPr id="3"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
                    <pic:cNvPicPr>
                      <a:picLocks noChangeAspect="1"/>
                    </pic:cNvPicPr>
                  </pic:nvPicPr>
                  <pic:blipFill>
                    <a:blip r:embed="rId5"/>
                    <a:stretch>
                      <a:fillRect/>
                    </a:stretch>
                  </pic:blipFill>
                  <pic:spPr>
                    <a:xfrm>
                      <a:off x="0" y="0"/>
                      <a:ext cx="5704840" cy="19310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56"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320" w:firstLineChars="100"/>
        <w:jc w:val="center"/>
        <w:textAlignment w:val="auto"/>
        <w:rPr>
          <w:rFonts w:hint="eastAsia" w:ascii="方正楷体简体" w:hAnsi="方正楷体简体" w:eastAsia="方正楷体简体" w:cs="方正楷体简体"/>
          <w:sz w:val="44"/>
          <w:szCs w:val="44"/>
          <w:lang w:val="en-US" w:eastAsia="zh-CN"/>
        </w:rPr>
      </w:pPr>
      <w:r>
        <w:rPr>
          <w:rFonts w:hint="eastAsia" w:ascii="方正仿宋简体" w:hAnsi="方正仿宋简体" w:eastAsia="方正仿宋简体" w:cs="方正仿宋简体"/>
          <w:sz w:val="32"/>
          <w:szCs w:val="32"/>
          <w:lang w:val="en-US" w:eastAsia="zh-CN"/>
        </w:rPr>
        <w:t>迪发改基础〔2020〕14号</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楷体简体" w:hAnsi="方正楷体简体" w:eastAsia="方正楷体简体" w:cs="方正楷体简体"/>
          <w:sz w:val="44"/>
          <w:szCs w:val="44"/>
          <w:lang w:val="en-US" w:eastAsia="zh-CN"/>
        </w:rPr>
      </w:pPr>
      <w:r>
        <w:rPr>
          <w:rFonts w:hint="eastAsia" w:ascii="方正仿宋简体" w:eastAsia="方正仿宋简体"/>
          <w:sz w:val="32"/>
          <w:szCs w:val="32"/>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36830</wp:posOffset>
                </wp:positionV>
                <wp:extent cx="5566410" cy="6985"/>
                <wp:effectExtent l="0" t="19050" r="15240" b="31115"/>
                <wp:wrapNone/>
                <wp:docPr id="4" name="直接连接符 4"/>
                <wp:cNvGraphicFramePr/>
                <a:graphic xmlns:a="http://schemas.openxmlformats.org/drawingml/2006/main">
                  <a:graphicData uri="http://schemas.microsoft.com/office/word/2010/wordprocessingShape">
                    <wps:wsp>
                      <wps:cNvCnPr/>
                      <wps:spPr>
                        <a:xfrm>
                          <a:off x="0" y="0"/>
                          <a:ext cx="5566410" cy="698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2.9pt;height:0.55pt;width:438.3pt;z-index:251665408;mso-width-relative:page;mso-height-relative:page;" filled="f" stroked="t" coordsize="21600,21600" o:gfxdata="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Ul+tnYAAAABQEAAA8A&#10;AAAAAAAAAQAgAAAAIgAAAGRycy9kb3ducmV2LnhtbFBLAQIUABQAAAAIAIdO4kCV3BFc3gEAAJoD&#10;AAAOAAAAAAAAAAEAIAAAACcBAABkcnMvZTJvRG9jLnhtbFBLBQYAAAAABgAGAFkBAAB3BQ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迪庆州</w:t>
      </w:r>
      <w:r>
        <w:rPr>
          <w:rFonts w:hint="eastAsia" w:ascii="方正小标宋简体" w:hAnsi="方正小标宋简体" w:eastAsia="方正小标宋简体" w:cs="方正小标宋简体"/>
          <w:sz w:val="44"/>
          <w:szCs w:val="44"/>
          <w:lang w:eastAsia="zh-CN"/>
        </w:rPr>
        <w:t>发展和改革委员会关于香格里拉市</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东外环二期（桑拿水库至箐口段）</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工程可行性研究报告的批复</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州交通重点项目建设指挥部</w:t>
      </w:r>
      <w:r>
        <w:rPr>
          <w:rFonts w:hint="eastAsia" w:ascii="方正仿宋简体" w:hAnsi="方正仿宋简体" w:eastAsia="方正仿宋简体" w:cs="方正仿宋简体"/>
          <w:color w:val="auto"/>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迪庆州交通重点建设项目指挥部</w:t>
      </w:r>
      <w:r>
        <w:rPr>
          <w:rFonts w:hint="eastAsia" w:ascii="方正仿宋简体" w:hAnsi="方正仿宋简体" w:eastAsia="方正仿宋简体" w:cs="方正仿宋简体"/>
          <w:color w:val="auto"/>
          <w:sz w:val="32"/>
          <w:szCs w:val="32"/>
        </w:rPr>
        <w:t>关于</w:t>
      </w:r>
      <w:r>
        <w:rPr>
          <w:rFonts w:hint="eastAsia" w:ascii="方正仿宋简体" w:hAnsi="方正仿宋简体" w:eastAsia="方正仿宋简体" w:cs="方正仿宋简体"/>
          <w:color w:val="auto"/>
          <w:sz w:val="32"/>
          <w:szCs w:val="32"/>
          <w:lang w:eastAsia="zh-CN"/>
        </w:rPr>
        <w:t>请求对香格里拉市东外环二期（桑拿水库至青口段）</w:t>
      </w:r>
      <w:r>
        <w:rPr>
          <w:rFonts w:hint="eastAsia" w:ascii="方正仿宋简体" w:hAnsi="方正仿宋简体" w:eastAsia="方正仿宋简体" w:cs="方正仿宋简体"/>
          <w:color w:val="auto"/>
          <w:sz w:val="32"/>
          <w:szCs w:val="32"/>
        </w:rPr>
        <w:t>工程可行性研究报告</w:t>
      </w:r>
      <w:r>
        <w:rPr>
          <w:rFonts w:hint="eastAsia" w:ascii="方正仿宋简体" w:hAnsi="方正仿宋简体" w:eastAsia="方正仿宋简体" w:cs="方正仿宋简体"/>
          <w:color w:val="auto"/>
          <w:sz w:val="32"/>
          <w:szCs w:val="32"/>
          <w:lang w:eastAsia="zh-CN"/>
        </w:rPr>
        <w:t>给予审查</w:t>
      </w:r>
      <w:r>
        <w:rPr>
          <w:rFonts w:hint="eastAsia" w:ascii="方正仿宋简体" w:hAnsi="方正仿宋简体" w:eastAsia="方正仿宋简体" w:cs="方正仿宋简体"/>
          <w:color w:val="auto"/>
          <w:sz w:val="32"/>
          <w:szCs w:val="32"/>
        </w:rPr>
        <w:t>的请示》（</w:t>
      </w:r>
      <w:r>
        <w:rPr>
          <w:rFonts w:hint="eastAsia" w:ascii="方正仿宋简体" w:hAnsi="方正仿宋简体" w:eastAsia="方正仿宋简体" w:cs="方正仿宋简体"/>
          <w:color w:val="auto"/>
          <w:sz w:val="32"/>
          <w:szCs w:val="32"/>
          <w:lang w:eastAsia="zh-CN"/>
        </w:rPr>
        <w:t>迪交重指</w:t>
      </w:r>
      <w:r>
        <w:rPr>
          <w:rFonts w:hint="eastAsia" w:ascii="方正仿宋简体" w:hAnsi="方正仿宋简体" w:eastAsia="方正仿宋简体" w:cs="方正仿宋简体"/>
          <w:color w:val="auto"/>
          <w:sz w:val="32"/>
          <w:szCs w:val="32"/>
        </w:rPr>
        <w:t>〔201</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11</w:t>
      </w:r>
      <w:r>
        <w:rPr>
          <w:rFonts w:hint="eastAsia" w:ascii="方正仿宋简体" w:hAnsi="方正仿宋简体" w:eastAsia="方正仿宋简体" w:cs="方正仿宋简体"/>
          <w:color w:val="auto"/>
          <w:sz w:val="32"/>
          <w:szCs w:val="32"/>
        </w:rPr>
        <w:t>号）及</w:t>
      </w:r>
      <w:r>
        <w:rPr>
          <w:rFonts w:hint="eastAsia" w:ascii="方正仿宋简体" w:hAnsi="方正仿宋简体" w:eastAsia="方正仿宋简体" w:cs="方正仿宋简体"/>
          <w:color w:val="000000"/>
          <w:sz w:val="32"/>
          <w:szCs w:val="32"/>
        </w:rPr>
        <w:t>有关资料收悉。</w:t>
      </w:r>
      <w:r>
        <w:rPr>
          <w:rFonts w:hint="eastAsia" w:ascii="方正仿宋简体" w:hAnsi="方正仿宋简体" w:eastAsia="方正仿宋简体" w:cs="方正仿宋简体"/>
          <w:color w:val="000000"/>
          <w:sz w:val="32"/>
          <w:szCs w:val="32"/>
          <w:lang w:eastAsia="zh-CN"/>
        </w:rPr>
        <w:t>经</w:t>
      </w:r>
      <w:r>
        <w:rPr>
          <w:rFonts w:hint="eastAsia" w:ascii="方正仿宋简体" w:hAnsi="宋体" w:eastAsia="方正仿宋简体"/>
          <w:color w:val="000000"/>
          <w:sz w:val="32"/>
          <w:szCs w:val="32"/>
        </w:rPr>
        <w:t>我委组织有关专家对《</w:t>
      </w:r>
      <w:r>
        <w:rPr>
          <w:rFonts w:hint="eastAsia" w:ascii="方正仿宋简体" w:hAnsi="方正仿宋简体" w:eastAsia="方正仿宋简体" w:cs="方正仿宋简体"/>
          <w:color w:val="auto"/>
          <w:sz w:val="32"/>
          <w:szCs w:val="32"/>
          <w:lang w:eastAsia="zh-CN"/>
        </w:rPr>
        <w:t>香格里拉市东外环二期（桑拿水库至青口段）</w:t>
      </w:r>
      <w:r>
        <w:rPr>
          <w:rFonts w:hint="eastAsia" w:ascii="方正仿宋简体" w:hAnsi="方正仿宋简体" w:eastAsia="方正仿宋简体" w:cs="方正仿宋简体"/>
          <w:color w:val="000000"/>
          <w:sz w:val="32"/>
          <w:szCs w:val="32"/>
        </w:rPr>
        <w:t>工程可行性研究报告</w:t>
      </w:r>
      <w:r>
        <w:rPr>
          <w:rFonts w:hint="eastAsia" w:ascii="方正仿宋简体" w:hAnsi="宋体" w:eastAsia="方正仿宋简体"/>
          <w:color w:val="000000"/>
          <w:sz w:val="32"/>
          <w:szCs w:val="32"/>
        </w:rPr>
        <w:t>》（以下简称《可研报告》）进行了审查</w:t>
      </w:r>
      <w:r>
        <w:rPr>
          <w:rFonts w:hint="eastAsia" w:ascii="方正仿宋简体" w:hAnsi="宋体" w:eastAsia="方正仿宋简体"/>
          <w:color w:val="000000"/>
          <w:sz w:val="32"/>
          <w:szCs w:val="32"/>
          <w:lang w:eastAsia="zh-CN"/>
        </w:rPr>
        <w:t>，并报请</w:t>
      </w:r>
      <w:r>
        <w:rPr>
          <w:rFonts w:hint="eastAsia" w:ascii="方正仿宋简体" w:hAnsi="方正仿宋简体" w:eastAsia="方正仿宋简体" w:cs="方正仿宋简体"/>
          <w:color w:val="000000"/>
          <w:sz w:val="32"/>
          <w:szCs w:val="32"/>
        </w:rPr>
        <w:t>州人民政府</w:t>
      </w:r>
      <w:r>
        <w:rPr>
          <w:rFonts w:hint="eastAsia" w:ascii="方正仿宋简体" w:hAnsi="方正仿宋简体" w:eastAsia="方正仿宋简体" w:cs="方正仿宋简体"/>
          <w:color w:val="000000"/>
          <w:sz w:val="32"/>
          <w:szCs w:val="32"/>
          <w:lang w:eastAsia="zh-CN"/>
        </w:rPr>
        <w:t>研究</w:t>
      </w:r>
      <w:r>
        <w:rPr>
          <w:rFonts w:hint="eastAsia" w:ascii="方正仿宋简体" w:hAnsi="方正仿宋简体" w:eastAsia="方正仿宋简体" w:cs="方正仿宋简体"/>
          <w:color w:val="000000"/>
          <w:sz w:val="32"/>
          <w:szCs w:val="32"/>
        </w:rPr>
        <w:t>同意，批准该项目建设</w:t>
      </w:r>
      <w:r>
        <w:rPr>
          <w:rFonts w:hint="eastAsia" w:ascii="方正仿宋简体" w:hAnsi="宋体" w:eastAsia="方正仿宋简体"/>
          <w:color w:val="000000"/>
          <w:sz w:val="32"/>
          <w:szCs w:val="32"/>
        </w:rPr>
        <w:t>，</w:t>
      </w:r>
      <w:r>
        <w:rPr>
          <w:rFonts w:hint="eastAsia" w:ascii="方正仿宋简体" w:hAnsi="方正仿宋简体" w:eastAsia="方正仿宋简体" w:cs="方正仿宋简体"/>
          <w:color w:val="000000"/>
          <w:sz w:val="32"/>
          <w:szCs w:val="32"/>
        </w:rPr>
        <w:t>现批复如下：</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香格里拉东外环二期（桑拿水库至箐口段）工程是香格里拉规划打造环城系统的一段，该项目建设对打通整个香格里拉市环城系统，完成香格里拉市公路网结构、改善沿线群众出行条件，开发旅游资源，促进经济和社会发展都具有重要意义</w:t>
      </w:r>
      <w:r>
        <w:rPr>
          <w:rFonts w:hint="eastAsia" w:ascii="方正仿宋简体" w:hAnsi="方正仿宋简体" w:eastAsia="方正仿宋简体" w:cs="方正仿宋简体"/>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宋体" w:eastAsia="方正仿宋简体"/>
          <w:color w:val="000000"/>
          <w:sz w:val="32"/>
          <w:szCs w:val="32"/>
          <w:lang w:eastAsia="zh-CN"/>
        </w:rPr>
      </w:pPr>
      <w:r>
        <w:rPr>
          <w:rFonts w:hint="eastAsia" w:ascii="黑体" w:hAnsi="黑体" w:eastAsia="黑体" w:cs="黑体"/>
          <w:color w:val="000000"/>
          <w:sz w:val="32"/>
          <w:szCs w:val="32"/>
          <w:lang w:eastAsia="zh-CN"/>
        </w:rPr>
        <w:t>一、路线方案。</w:t>
      </w:r>
      <w:r>
        <w:rPr>
          <w:rFonts w:hint="eastAsia" w:ascii="方正仿宋简体" w:hAnsi="宋体" w:eastAsia="方正仿宋简体"/>
          <w:color w:val="000000"/>
          <w:sz w:val="32"/>
          <w:szCs w:val="32"/>
        </w:rPr>
        <w:t>路线起于桑那水库以北S209线（军马场至大雪山垭口段K6+775处），路线由北向南设830m长隧道穿越桑那水库北侧山体，与S209线（军马场至大雪山垭口段）共线1.86km后，避让桑那水库一级陆域保护区，至次浪沟降坡展线至殡仪馆西侧后，往东南方向平行于丽香铁路布线，道路于武警支队西侧顺接香格里拉市东外环市政道路连接工程支线起点，利用香格里拉市东外环市政道路连接工程支线、香格里拉市东外环市政道路连接工程与G214线和西环线相接。路线全长16.543</w:t>
      </w:r>
      <w:r>
        <w:rPr>
          <w:rFonts w:hint="eastAsia" w:ascii="方正仿宋简体" w:hAnsi="宋体" w:eastAsia="方正仿宋简体"/>
          <w:color w:val="000000"/>
          <w:sz w:val="32"/>
          <w:szCs w:val="32"/>
          <w:lang w:eastAsia="zh-CN"/>
        </w:rPr>
        <w:t>公里，</w:t>
      </w:r>
      <w:r>
        <w:rPr>
          <w:rFonts w:hint="eastAsia" w:ascii="方正仿宋简体" w:hAnsi="宋体" w:eastAsia="方正仿宋简体"/>
          <w:color w:val="000000"/>
          <w:sz w:val="32"/>
          <w:szCs w:val="32"/>
        </w:rPr>
        <w:t>均在迪庆州香格里拉市境内。其中新建14.683</w:t>
      </w:r>
      <w:r>
        <w:rPr>
          <w:rFonts w:hint="eastAsia" w:ascii="方正仿宋简体" w:hAnsi="宋体" w:eastAsia="方正仿宋简体"/>
          <w:color w:val="000000"/>
          <w:sz w:val="32"/>
          <w:szCs w:val="32"/>
          <w:lang w:eastAsia="zh-CN"/>
        </w:rPr>
        <w:t>公里，</w:t>
      </w:r>
      <w:r>
        <w:rPr>
          <w:rFonts w:hint="eastAsia" w:ascii="方正仿宋简体" w:hAnsi="宋体" w:eastAsia="方正仿宋简体"/>
          <w:color w:val="000000"/>
          <w:sz w:val="32"/>
          <w:szCs w:val="32"/>
        </w:rPr>
        <w:t>与S209共线段1.86</w:t>
      </w:r>
      <w:r>
        <w:rPr>
          <w:rFonts w:hint="eastAsia" w:ascii="方正仿宋简体" w:hAnsi="宋体" w:eastAsia="方正仿宋简体"/>
          <w:color w:val="000000"/>
          <w:sz w:val="32"/>
          <w:szCs w:val="32"/>
          <w:lang w:eastAsia="zh-CN"/>
        </w:rPr>
        <w:t>公里。</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lang w:eastAsia="zh-CN"/>
        </w:rPr>
        <w:t>主要控制点：起点S209线、桑那水库、殡仪馆、武警部队、止点香格里拉市东外环市政道路连接工程支线</w:t>
      </w:r>
      <w:r>
        <w:rPr>
          <w:rFonts w:hint="eastAsia" w:ascii="方正仿宋简体" w:hAnsi="宋体" w:eastAsia="方正仿宋简体"/>
          <w:color w:val="000000"/>
          <w:sz w:val="32"/>
          <w:szCs w:val="32"/>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建设规模技术标准。</w:t>
      </w:r>
      <w:r>
        <w:rPr>
          <w:rFonts w:hint="eastAsia" w:ascii="方正仿宋简体" w:hAnsi="方正仿宋简体" w:eastAsia="方正仿宋简体" w:cs="方正仿宋简体"/>
          <w:color w:val="000000"/>
          <w:sz w:val="32"/>
          <w:szCs w:val="32"/>
        </w:rPr>
        <w:t>本项目拟按双向2车道二级公路标准建设，即：设计速度60</w:t>
      </w:r>
      <w:r>
        <w:rPr>
          <w:rFonts w:hint="eastAsia" w:ascii="方正仿宋简体" w:hAnsi="方正仿宋简体" w:eastAsia="方正仿宋简体" w:cs="方正仿宋简体"/>
          <w:color w:val="000000"/>
          <w:sz w:val="32"/>
          <w:szCs w:val="32"/>
          <w:lang w:eastAsia="zh-CN"/>
        </w:rPr>
        <w:t>公里</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小时</w:t>
      </w:r>
      <w:r>
        <w:rPr>
          <w:rFonts w:hint="eastAsia" w:ascii="方正仿宋简体" w:hAnsi="方正仿宋简体" w:eastAsia="方正仿宋简体" w:cs="方正仿宋简体"/>
          <w:color w:val="000000"/>
          <w:sz w:val="32"/>
          <w:szCs w:val="32"/>
        </w:rPr>
        <w:t>、路基宽度12</w:t>
      </w:r>
      <w:r>
        <w:rPr>
          <w:rFonts w:hint="eastAsia" w:ascii="方正仿宋简体" w:hAnsi="方正仿宋简体" w:eastAsia="方正仿宋简体" w:cs="方正仿宋简体"/>
          <w:color w:val="000000"/>
          <w:sz w:val="32"/>
          <w:szCs w:val="32"/>
          <w:lang w:eastAsia="zh-CN"/>
        </w:rPr>
        <w:t>米</w:t>
      </w:r>
      <w:r>
        <w:rPr>
          <w:rFonts w:hint="eastAsia" w:ascii="方正仿宋简体" w:hAnsi="方正仿宋简体" w:eastAsia="方正仿宋简体" w:cs="方正仿宋简体"/>
          <w:color w:val="000000"/>
          <w:sz w:val="32"/>
          <w:szCs w:val="32"/>
        </w:rPr>
        <w:t>，汽车荷载等级公路-Ⅰ级。路线全长16.543</w:t>
      </w:r>
      <w:r>
        <w:rPr>
          <w:rFonts w:hint="eastAsia" w:ascii="方正仿宋简体" w:hAnsi="方正仿宋简体" w:eastAsia="方正仿宋简体" w:cs="方正仿宋简体"/>
          <w:color w:val="000000"/>
          <w:sz w:val="32"/>
          <w:szCs w:val="32"/>
          <w:lang w:eastAsia="zh-CN"/>
        </w:rPr>
        <w:t>公里（</w:t>
      </w:r>
      <w:r>
        <w:rPr>
          <w:rFonts w:hint="eastAsia" w:ascii="方正仿宋简体" w:hAnsi="宋体" w:eastAsia="方正仿宋简体"/>
          <w:color w:val="000000"/>
          <w:sz w:val="32"/>
          <w:szCs w:val="32"/>
        </w:rPr>
        <w:t>S209共线段1.86</w:t>
      </w:r>
      <w:r>
        <w:rPr>
          <w:rFonts w:hint="eastAsia" w:ascii="方正仿宋简体" w:hAnsi="宋体" w:eastAsia="方正仿宋简体"/>
          <w:color w:val="000000"/>
          <w:sz w:val="32"/>
          <w:szCs w:val="32"/>
          <w:lang w:eastAsia="zh-CN"/>
        </w:rPr>
        <w:t>公里）</w:t>
      </w:r>
      <w:r>
        <w:rPr>
          <w:rFonts w:hint="eastAsia" w:ascii="方正仿宋简体" w:hAnsi="方正仿宋简体" w:eastAsia="方正仿宋简体" w:cs="方正仿宋简体"/>
          <w:color w:val="000000"/>
          <w:sz w:val="32"/>
          <w:szCs w:val="32"/>
        </w:rPr>
        <w:t>，建设里程14.683</w:t>
      </w:r>
      <w:r>
        <w:rPr>
          <w:rFonts w:hint="eastAsia" w:ascii="方正仿宋简体" w:hAnsi="方正仿宋简体" w:eastAsia="方正仿宋简体" w:cs="方正仿宋简体"/>
          <w:color w:val="000000"/>
          <w:sz w:val="32"/>
          <w:szCs w:val="32"/>
          <w:lang w:eastAsia="zh-CN"/>
        </w:rPr>
        <w:t>公里</w:t>
      </w:r>
      <w:r>
        <w:rPr>
          <w:rFonts w:hint="eastAsia" w:ascii="方正仿宋简体" w:hAnsi="方正仿宋简体" w:eastAsia="方正仿宋简体" w:cs="方正仿宋简体"/>
          <w:color w:val="000000"/>
          <w:sz w:val="32"/>
          <w:szCs w:val="32"/>
        </w:rPr>
        <w:t>，全线设大桥740米/ 3座，占路线总长的5.04%；全线设隧道830米/1道</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占路线总长的5.24%；全线共设涵洞39道。</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、投资估算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项目估算总投资</w:t>
      </w:r>
      <w:r>
        <w:rPr>
          <w:rFonts w:hint="eastAsia" w:ascii="方正仿宋简体" w:hAnsi="方正仿宋简体" w:eastAsia="方正仿宋简体" w:cs="方正仿宋简体"/>
          <w:color w:val="auto"/>
          <w:sz w:val="32"/>
          <w:szCs w:val="32"/>
          <w:lang w:val="en-US" w:eastAsia="zh-CN"/>
        </w:rPr>
        <w:t>65800.6101</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每公里造价</w:t>
      </w:r>
      <w:r>
        <w:rPr>
          <w:rFonts w:hint="eastAsia" w:ascii="方正仿宋简体" w:hAnsi="方正仿宋简体" w:eastAsia="方正仿宋简体" w:cs="方正仿宋简体"/>
          <w:color w:val="auto"/>
          <w:sz w:val="32"/>
          <w:szCs w:val="32"/>
          <w:lang w:val="en-US" w:eastAsia="zh-CN"/>
        </w:rPr>
        <w:t>4481.4146万元</w:t>
      </w:r>
      <w:r>
        <w:rPr>
          <w:rFonts w:hint="eastAsia" w:ascii="方正仿宋简体" w:hAnsi="方正仿宋简体" w:eastAsia="方正仿宋简体" w:cs="方正仿宋简体"/>
          <w:color w:val="auto"/>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为切实防范地方政府债务风险，请按照相关政策规定，统筹做好项目资金的筹措，严禁以债务性资金作为项目建设资金，严禁违反规定新增政府债务。项目建设资金不落实，严禁开工建设。</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、在初步设计阶段要进一步做好以下工作：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（一）结合区域路网和城乡规划以及工程地质，进一步优化路线方案。加强局部路线方案比选，深化改建公路路线方案研究。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（二）加强以桥梁</w:t>
      </w:r>
      <w:r>
        <w:rPr>
          <w:rFonts w:hint="eastAsia" w:ascii="方正仿宋简体" w:hAnsi="方正仿宋简体" w:eastAsia="方正仿宋简体" w:cs="方正仿宋简体"/>
          <w:color w:val="000000"/>
          <w:sz w:val="32"/>
          <w:szCs w:val="32"/>
          <w:lang w:eastAsia="zh-CN"/>
        </w:rPr>
        <w:t>盒隧道</w:t>
      </w:r>
      <w:r>
        <w:rPr>
          <w:rFonts w:hint="eastAsia" w:ascii="方正仿宋简体" w:hAnsi="方正仿宋简体" w:eastAsia="方正仿宋简体" w:cs="方正仿宋简体"/>
          <w:color w:val="000000"/>
          <w:sz w:val="32"/>
          <w:szCs w:val="32"/>
        </w:rPr>
        <w:t>为重点的工程水文地质勘察，深化选址及其工程方案比选，</w:t>
      </w:r>
      <w:r>
        <w:rPr>
          <w:rFonts w:ascii="方正仿宋简体" w:hAnsi="方正仿宋简体" w:eastAsia="方正仿宋简体" w:cs="方正仿宋简体"/>
          <w:color w:val="000000"/>
          <w:sz w:val="32"/>
          <w:szCs w:val="32"/>
        </w:rPr>
        <w:t>加强桥梁</w:t>
      </w:r>
      <w:r>
        <w:rPr>
          <w:rFonts w:hint="eastAsia" w:ascii="方正仿宋简体" w:hAnsi="方正仿宋简体" w:eastAsia="方正仿宋简体" w:cs="方正仿宋简体"/>
          <w:color w:val="000000"/>
          <w:sz w:val="32"/>
          <w:szCs w:val="32"/>
        </w:rPr>
        <w:t>抗震</w:t>
      </w:r>
      <w:r>
        <w:rPr>
          <w:rFonts w:ascii="方正仿宋简体" w:hAnsi="方正仿宋简体" w:eastAsia="方正仿宋简体" w:cs="方正仿宋简体"/>
          <w:color w:val="000000"/>
          <w:sz w:val="32"/>
          <w:szCs w:val="32"/>
        </w:rPr>
        <w:t>设计，确保施工及运营安全</w:t>
      </w:r>
      <w:r>
        <w:rPr>
          <w:rFonts w:hint="eastAsia" w:ascii="方正仿宋简体" w:hAnsi="方正仿宋简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（三</w:t>
      </w:r>
      <w:r>
        <w:rPr>
          <w:rFonts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rPr>
        <w:t>工程</w:t>
      </w:r>
      <w:r>
        <w:rPr>
          <w:rFonts w:ascii="方正仿宋简体" w:hAnsi="方正仿宋简体" w:eastAsia="方正仿宋简体" w:cs="方正仿宋简体"/>
          <w:color w:val="000000"/>
          <w:sz w:val="32"/>
          <w:szCs w:val="32"/>
        </w:rPr>
        <w:t>方案设计应紧密结合并满足环境保护、水土保持等各项专项评价结论及其批复意见的要求。采取</w:t>
      </w:r>
      <w:r>
        <w:rPr>
          <w:rFonts w:hint="eastAsia" w:ascii="方正仿宋简体" w:hAnsi="方正仿宋简体" w:eastAsia="方正仿宋简体" w:cs="方正仿宋简体"/>
          <w:color w:val="000000"/>
          <w:sz w:val="32"/>
          <w:szCs w:val="32"/>
        </w:rPr>
        <w:t>切实</w:t>
      </w:r>
      <w:r>
        <w:rPr>
          <w:rFonts w:ascii="方正仿宋简体" w:hAnsi="方正仿宋简体" w:eastAsia="方正仿宋简体" w:cs="方正仿宋简体"/>
          <w:color w:val="000000"/>
          <w:sz w:val="32"/>
          <w:szCs w:val="32"/>
        </w:rPr>
        <w:t>措施保护沿线生态环境，尽</w:t>
      </w:r>
      <w:r>
        <w:rPr>
          <w:rFonts w:hint="eastAsia" w:ascii="方正仿宋简体" w:hAnsi="方正仿宋简体" w:eastAsia="方正仿宋简体" w:cs="方正仿宋简体"/>
          <w:color w:val="000000"/>
          <w:sz w:val="32"/>
          <w:szCs w:val="32"/>
        </w:rPr>
        <w:t>可能</w:t>
      </w:r>
      <w:r>
        <w:rPr>
          <w:rFonts w:ascii="方正仿宋简体" w:hAnsi="方正仿宋简体" w:eastAsia="方正仿宋简体" w:cs="方正仿宋简体"/>
          <w:color w:val="000000"/>
          <w:sz w:val="32"/>
          <w:szCs w:val="32"/>
        </w:rPr>
        <w:t>减少耕地占用。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（四）补充水文资料，并认真核查路基、桥涵设计洪水位高程是否满足要求。</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五</w:t>
      </w:r>
      <w:r>
        <w:rPr>
          <w:rFonts w:hint="eastAsia" w:ascii="方正仿宋简体" w:hAnsi="方正仿宋简体" w:eastAsia="方正仿宋简体" w:cs="方正仿宋简体"/>
          <w:color w:val="000000"/>
          <w:sz w:val="32"/>
          <w:szCs w:val="32"/>
        </w:rPr>
        <w:t>、请项目单位严格执行国家有关招投标规定，工程勘察、设计、建筑工程、监理、重要材料等必须全部实行公开招标。</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六</w:t>
      </w:r>
      <w:r>
        <w:rPr>
          <w:rFonts w:hint="eastAsia" w:ascii="方正仿宋简体" w:hAnsi="方正仿宋简体" w:eastAsia="方正仿宋简体" w:cs="方正仿宋简体"/>
          <w:color w:val="000000"/>
          <w:sz w:val="32"/>
          <w:szCs w:val="32"/>
        </w:rPr>
        <w:t>、请会同有关部门督促项目单位按照建设环境友好、资源节约型公路的要求，优化设计，把保护环境和生态、节约和集约用地、节能减排等工作落实到位。项目建设期间要加强管理，落实征地拆迁相应政策和措施，合理掌握建设工期，确保工程质量，严格控制项目总投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七</w:t>
      </w:r>
      <w:r>
        <w:rPr>
          <w:rFonts w:hint="eastAsia" w:ascii="方正仿宋简体" w:hAnsi="方正仿宋简体" w:eastAsia="方正仿宋简体" w:cs="方正仿宋简体"/>
          <w:color w:val="000000"/>
          <w:sz w:val="32"/>
          <w:szCs w:val="32"/>
        </w:rPr>
        <w:t>、请</w:t>
      </w:r>
      <w:r>
        <w:rPr>
          <w:rFonts w:ascii="方正仿宋简体" w:hAnsi="方正仿宋简体" w:eastAsia="方正仿宋简体" w:cs="方正仿宋简体"/>
          <w:color w:val="000000"/>
          <w:sz w:val="32"/>
          <w:szCs w:val="32"/>
        </w:rPr>
        <w:t>督促有关</w:t>
      </w:r>
      <w:r>
        <w:rPr>
          <w:rFonts w:hint="eastAsia" w:ascii="方正仿宋简体" w:hAnsi="方正仿宋简体" w:eastAsia="方正仿宋简体" w:cs="方正仿宋简体"/>
          <w:color w:val="000000"/>
          <w:sz w:val="32"/>
          <w:szCs w:val="32"/>
        </w:rPr>
        <w:t>部门</w:t>
      </w:r>
      <w:r>
        <w:rPr>
          <w:rFonts w:ascii="方正仿宋简体" w:hAnsi="方正仿宋简体" w:eastAsia="方正仿宋简体" w:cs="方正仿宋简体"/>
          <w:color w:val="000000"/>
          <w:sz w:val="32"/>
          <w:szCs w:val="32"/>
        </w:rPr>
        <w:t>切实落实各项风险防范化解措施</w:t>
      </w:r>
      <w:r>
        <w:rPr>
          <w:rFonts w:hint="eastAsia" w:ascii="方正仿宋简体" w:hAnsi="方正仿宋简体" w:eastAsia="方正仿宋简体" w:cs="方正仿宋简体"/>
          <w:color w:val="000000"/>
          <w:sz w:val="32"/>
          <w:szCs w:val="32"/>
        </w:rPr>
        <w:t>，</w:t>
      </w:r>
      <w:r>
        <w:rPr>
          <w:rFonts w:ascii="方正仿宋简体" w:hAnsi="方正仿宋简体" w:eastAsia="方正仿宋简体" w:cs="方正仿宋简体"/>
          <w:color w:val="000000"/>
          <w:sz w:val="32"/>
          <w:szCs w:val="32"/>
        </w:rPr>
        <w:t>制定有效的应急处置预案，保障项目建设顺利实施。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八</w:t>
      </w:r>
      <w:r>
        <w:rPr>
          <w:rFonts w:hint="eastAsia" w:ascii="方正仿宋简体" w:hAnsi="方正仿宋简体" w:eastAsia="方正仿宋简体" w:cs="方正仿宋简体"/>
          <w:color w:val="000000"/>
          <w:sz w:val="32"/>
          <w:szCs w:val="32"/>
        </w:rPr>
        <w:t>、其他意见详见《</w:t>
      </w:r>
      <w:r>
        <w:rPr>
          <w:rFonts w:hint="eastAsia" w:ascii="方正仿宋简体" w:hAnsi="方正仿宋简体" w:eastAsia="方正仿宋简体" w:cs="方正仿宋简体"/>
          <w:color w:val="000000"/>
          <w:sz w:val="32"/>
          <w:szCs w:val="32"/>
          <w:lang w:eastAsia="zh-CN"/>
        </w:rPr>
        <w:t>香格里拉市东外环二期（桑拿水库至箐口段）工程可行性研究报告专家审查意见</w:t>
      </w:r>
      <w:r>
        <w:rPr>
          <w:rFonts w:hint="eastAsia" w:ascii="方正仿宋简体" w:hAnsi="方正仿宋简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迪庆州发展和改革委员会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ind w:firstLine="3520" w:firstLineChars="11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2020年9月17日</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spacing w:line="540" w:lineRule="exact"/>
        <w:ind w:firstLine="280" w:firstLineChars="100"/>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97155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5pt;margin-top:7.65pt;height:0pt;width:441pt;z-index:251660288;mso-width-relative:page;mso-height-relative:page;" filled="f" stroked="t" coordsize="21600,21600" o:gfxdata="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lJustYAAAAJAQAADwAA&#10;AAAAAAABACAAAAAiAAAAZHJzL2Rvd25yZXYueG1sUEsBAhQAFAAAAAgAh07iQJxug2TfAQAApAMA&#10;AA4AAAAAAAAAAQAgAAAAJQEAAGRycy9lMm9Eb2MueG1sUEsFBgAAAAAGAAYAWQEAAHYFA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抄送：本委领导</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lang w:eastAsia="zh-CN"/>
        </w:rPr>
        <w:t>州自然资源和规划局，州生态环境局，州水务局，</w:t>
      </w:r>
    </w:p>
    <w:p>
      <w:pPr>
        <w:keepNext w:val="0"/>
        <w:keepLines w:val="0"/>
        <w:pageBreakBefore w:val="0"/>
        <w:kinsoku/>
        <w:wordWrap/>
        <w:overflowPunct/>
        <w:topLinePunct w:val="0"/>
        <w:autoSpaceDE/>
        <w:autoSpaceDN/>
        <w:bidi w:val="0"/>
        <w:spacing w:line="54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州林业林草局，州交通运输局</w:t>
      </w:r>
      <w:r>
        <w:rPr>
          <w:rFonts w:hint="eastAsia" w:ascii="方正仿宋简体" w:hAnsi="方正仿宋简体" w:eastAsia="方正仿宋简体" w:cs="方正仿宋简体"/>
          <w:sz w:val="28"/>
          <w:szCs w:val="28"/>
        </w:rPr>
        <w:t>。</w:t>
      </w:r>
    </w:p>
    <w:p>
      <w:pPr>
        <w:keepNext w:val="0"/>
        <w:keepLines w:val="0"/>
        <w:pageBreakBefore w:val="0"/>
        <w:kinsoku/>
        <w:wordWrap/>
        <w:overflowPunct/>
        <w:topLinePunct w:val="0"/>
        <w:autoSpaceDE/>
        <w:autoSpaceDN/>
        <w:bidi w:val="0"/>
        <w:spacing w:line="540" w:lineRule="exact"/>
        <w:textAlignment w:val="auto"/>
        <w:rPr>
          <w:rFonts w:hint="eastAsia"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317500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5pt;height:0pt;width:441pt;z-index:251659264;mso-width-relative:page;mso-height-relative:page;" filled="f" stroked="t" coordsize="21600,21600" o:gfxdata="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g/OBbVAAAACQEAAA8AAAAA&#10;AAAAAQAgAAAAIgAAAGRycy9kb3ducmV2LnhtbFBLAQIUABQAAAAIAIdO4kDjtlyD3gEAAKQDAAAO&#10;AAAAAAAAAAEAIAAAACQBAABkcnMvZTJvRG9jLnhtbFBLBQYAAAAABgAGAFkBAAB0BQ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43180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4pt;height:0pt;width:441pt;z-index:251658240;mso-width-relative:page;mso-height-relative:page;" filled="f" stroked="t" coordsize="21600,21600" o:gfxdata="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2XzVDUAAAABwEAAA8AAAAA&#10;AAAAAQAgAAAAIgAAAGRycy9kb3ducmV2LnhtbFBLAQIUABQAAAAIAIdO4kD82Qsd3wEAAKQDAAAO&#10;AAAAAAAAAAEAIAAAACMBAABkcnMvZTJvRG9jLnhtbFBLBQYAAAAABgAGAFkBAAB0BQ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迪庆州发展和改革委员会</w:t>
      </w:r>
      <w:r>
        <w:rPr>
          <w:rFonts w:hint="eastAsia" w:ascii="方正仿宋简体" w:hAnsi="方正仿宋简体" w:eastAsia="方正仿宋简体" w:cs="方正仿宋简体"/>
          <w:sz w:val="28"/>
          <w:szCs w:val="28"/>
          <w:lang w:eastAsia="zh-CN"/>
        </w:rPr>
        <w:t>基础设施发展科</w:t>
      </w:r>
      <w:r>
        <w:rPr>
          <w:rFonts w:hint="eastAsia" w:ascii="方正仿宋简体" w:hAnsi="方正仿宋简体" w:eastAsia="方正仿宋简体" w:cs="方正仿宋简体"/>
          <w:sz w:val="28"/>
          <w:szCs w:val="28"/>
        </w:rPr>
        <w:t xml:space="preserve">    20</w:t>
      </w:r>
      <w:r>
        <w:rPr>
          <w:rFonts w:hint="eastAsia" w:ascii="方正仿宋简体" w:hAnsi="方正仿宋简体" w:eastAsia="方正仿宋简体" w:cs="方正仿宋简体"/>
          <w:sz w:val="28"/>
          <w:szCs w:val="28"/>
          <w:lang w:val="en-US" w:eastAsia="zh-CN"/>
        </w:rPr>
        <w:t>20</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17</w:t>
      </w:r>
      <w:r>
        <w:rPr>
          <w:rFonts w:hint="eastAsia" w:ascii="方正仿宋简体" w:hAnsi="方正仿宋简体" w:eastAsia="方正仿宋简体" w:cs="方正仿宋简体"/>
          <w:sz w:val="28"/>
          <w:szCs w:val="28"/>
        </w:rPr>
        <w:t>日印</w:t>
      </w:r>
      <w:bookmarkStart w:id="0" w:name="_GoBack"/>
      <w:bookmarkEnd w:id="0"/>
    </w:p>
    <w:sectPr>
      <w:footerReference r:id="rId3" w:type="default"/>
      <w:pgSz w:w="11906" w:h="16838"/>
      <w:pgMar w:top="2098" w:right="1531" w:bottom="1984" w:left="1531"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43F3B"/>
    <w:rsid w:val="43EE05A1"/>
    <w:rsid w:val="4AE66F2C"/>
    <w:rsid w:val="531D5CD8"/>
    <w:rsid w:val="5D392A26"/>
    <w:rsid w:val="6684271B"/>
    <w:rsid w:val="6A5672BB"/>
    <w:rsid w:val="6ADA560A"/>
    <w:rsid w:val="6CE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样式 宋体 小四1"/>
    <w:qFormat/>
    <w:uiPriority w:val="0"/>
    <w:rPr>
      <w:rFonts w:ascii="宋体" w:hAnsi="宋体" w:eastAsia="宋体"/>
      <w:sz w:val="24"/>
    </w:rPr>
  </w:style>
  <w:style w:type="paragraph" w:customStyle="1" w:styleId="6">
    <w:name w:val="样式 宋体 小四 Char Char Char"/>
    <w:basedOn w:val="1"/>
    <w:qFormat/>
    <w:uiPriority w:val="0"/>
    <w:pPr>
      <w:widowControl w:val="0"/>
      <w:spacing w:line="360" w:lineRule="auto"/>
      <w:textAlignment w:val="auto"/>
    </w:pPr>
    <w:rPr>
      <w:rFonts w:ascii="宋体" w:hAnsi="宋体"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2020-09-16T15:13:00Z</dcterms:created>
  <dc:creator>Administrator</dc:creator>
  <cp:lastModifiedBy>Administrator</cp:lastModifiedBy>
  <cp:lastPrinted>2020-09-17T06:21:31Z</cp:lastPrinted>
  <dcterms:modified xsi:type="dcterms:W3CDTF">2020-09-17T08:45:52Z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