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 -->
  <w:body>
    <w:p>
      <w:pPr>
        <w:rPr>
          <w:rFonts w:ascii="Arial" w:eastAsia="Arial" w:hAnsi="Arial" w:cs="Arial"/>
          <w:b/>
          <w:sz w:val="36"/>
        </w:rPr>
      </w:pPr>
      <w:r>
        <w:rPr>
          <w:rFonts w:ascii="Arial" w:eastAsia="Arial" w:hAnsi="Arial" w:cs="Arial"/>
          <w:b/>
          <w:sz w:val="36"/>
        </w:rPr>
        <w:t>监督索引号53340000143101000</w:t>
      </w:r>
    </w:p>
    <w:p>
      <w:pPr>
        <w:jc w:val="both"/>
        <w:rPr>
          <w:rFonts w:ascii="方正小标宋简体" w:eastAsia="方正小标宋简体" w:hAnsi="方正小标宋简体" w:cs="方正小标宋简体" w:hint="eastAsia"/>
          <w:b w:val="0"/>
          <w:bCs w:val="0"/>
          <w:sz w:val="30"/>
          <w:szCs w:val="30"/>
          <w:lang w:eastAsia="zh-CN"/>
        </w:rPr>
      </w:pPr>
    </w:p>
    <w:p>
      <w:pPr>
        <w:jc w:val="center"/>
        <w:rPr>
          <w:rFonts w:ascii="黑体" w:eastAsia="黑体" w:hAnsi="黑体" w:hint="eastAsia"/>
          <w:sz w:val="36"/>
          <w:szCs w:val="36"/>
        </w:rPr>
      </w:pPr>
      <w:r>
        <w:rPr>
          <w:rFonts w:ascii="黑体" w:eastAsia="黑体" w:hAnsi="黑体" w:hint="eastAsia"/>
          <w:sz w:val="36"/>
          <w:szCs w:val="36"/>
          <w:lang w:eastAsia="zh-CN"/>
        </w:rPr>
        <w:t>迪庆州住房公积金管理中心</w:t>
      </w:r>
      <w:r>
        <w:rPr>
          <w:rFonts w:ascii="黑体" w:eastAsia="黑体" w:hAnsi="黑体" w:hint="eastAsia"/>
          <w:sz w:val="36"/>
          <w:szCs w:val="36"/>
          <w:lang w:val="en-US" w:eastAsia="zh-CN"/>
        </w:rPr>
        <w:t>2018</w:t>
      </w:r>
      <w:r>
        <w:rPr>
          <w:rFonts w:ascii="黑体" w:eastAsia="黑体" w:hAnsi="黑体" w:hint="eastAsia"/>
          <w:sz w:val="36"/>
          <w:szCs w:val="36"/>
        </w:rPr>
        <w:t>年度部门决算</w:t>
      </w:r>
    </w:p>
    <w:p>
      <w:pPr>
        <w:jc w:val="left"/>
        <w:rPr>
          <w:rFonts w:ascii="黑体" w:eastAsia="黑体" w:hAnsi="黑体" w:hint="eastAsia"/>
          <w:sz w:val="30"/>
          <w:szCs w:val="30"/>
        </w:rPr>
      </w:pPr>
      <w:r>
        <w:rPr>
          <w:rFonts w:ascii="黑体" w:eastAsia="黑体" w:hAnsi="黑体" w:hint="eastAsia"/>
          <w:sz w:val="30"/>
          <w:szCs w:val="30"/>
        </w:rPr>
        <w:t xml:space="preserve">第一部分 </w:t>
      </w:r>
      <w:r>
        <w:rPr>
          <w:rFonts w:ascii="黑体" w:eastAsia="黑体" w:hAnsi="黑体" w:hint="eastAsia"/>
          <w:sz w:val="30"/>
          <w:szCs w:val="30"/>
          <w:lang w:eastAsia="zh-CN"/>
        </w:rPr>
        <w:t>迪庆州住房公积金管理中心</w:t>
      </w:r>
      <w:r>
        <w:rPr>
          <w:rFonts w:ascii="黑体" w:eastAsia="黑体" w:hAnsi="黑体" w:hint="eastAsia"/>
          <w:sz w:val="30"/>
          <w:szCs w:val="30"/>
        </w:rPr>
        <w:t>概况</w:t>
      </w:r>
    </w:p>
    <w:p>
      <w:pPr>
        <w:spacing w:line="240" w:lineRule="atLeast"/>
        <w:jc w:val="left"/>
        <w:rPr>
          <w:rFonts w:ascii="楷体" w:eastAsia="楷体" w:hAnsi="楷体" w:hint="eastAsia"/>
          <w:sz w:val="30"/>
          <w:szCs w:val="30"/>
        </w:rPr>
      </w:pPr>
      <w:r>
        <w:rPr>
          <w:rFonts w:ascii="楷体" w:eastAsia="楷体" w:hAnsi="楷体" w:hint="eastAsia"/>
          <w:sz w:val="30"/>
          <w:szCs w:val="30"/>
        </w:rPr>
        <w:t>一、主要职能</w:t>
      </w:r>
    </w:p>
    <w:p>
      <w:pPr>
        <w:numPr>
          <w:ilvl w:val="0"/>
          <w:numId w:val="1"/>
        </w:numPr>
        <w:spacing w:line="240" w:lineRule="atLeast"/>
        <w:jc w:val="left"/>
        <w:rPr>
          <w:rFonts w:ascii="楷体" w:eastAsia="楷体" w:hAnsi="楷体" w:hint="eastAsia"/>
          <w:sz w:val="30"/>
          <w:szCs w:val="30"/>
        </w:rPr>
      </w:pPr>
      <w:r>
        <w:rPr>
          <w:rFonts w:ascii="楷体" w:eastAsia="楷体" w:hAnsi="楷体" w:hint="eastAsia"/>
          <w:sz w:val="30"/>
          <w:szCs w:val="30"/>
        </w:rPr>
        <w:t>部门基本情况</w:t>
      </w:r>
    </w:p>
    <w:p>
      <w:pPr>
        <w:jc w:val="left"/>
        <w:rPr>
          <w:rFonts w:ascii="黑体" w:eastAsia="黑体" w:hAnsi="黑体" w:hint="eastAsia"/>
          <w:sz w:val="30"/>
          <w:szCs w:val="30"/>
        </w:rPr>
      </w:pPr>
      <w:r>
        <w:rPr>
          <w:rFonts w:ascii="黑体" w:eastAsia="黑体" w:hAnsi="黑体" w:hint="eastAsia"/>
          <w:sz w:val="30"/>
          <w:szCs w:val="30"/>
        </w:rPr>
        <w:t xml:space="preserve">第二部分 </w:t>
      </w:r>
      <w:r>
        <w:rPr>
          <w:rFonts w:ascii="黑体" w:eastAsia="黑体" w:hAnsi="黑体" w:hint="eastAsia"/>
          <w:sz w:val="30"/>
          <w:szCs w:val="30"/>
          <w:lang w:val="en-US" w:eastAsia="zh-CN"/>
        </w:rPr>
        <w:t>2018</w:t>
      </w:r>
      <w:r>
        <w:rPr>
          <w:rFonts w:ascii="黑体" w:eastAsia="黑体" w:hAnsi="黑体" w:hint="eastAsia"/>
          <w:sz w:val="30"/>
          <w:szCs w:val="30"/>
        </w:rPr>
        <w:t>年度部门决算表</w:t>
      </w:r>
    </w:p>
    <w:p>
      <w:pPr>
        <w:jc w:val="left"/>
        <w:rPr>
          <w:rFonts w:ascii="楷体" w:eastAsia="楷体" w:hAnsi="楷体" w:hint="eastAsia"/>
          <w:sz w:val="30"/>
          <w:szCs w:val="30"/>
        </w:rPr>
      </w:pPr>
      <w:r>
        <w:rPr>
          <w:rFonts w:ascii="楷体" w:eastAsia="楷体" w:hAnsi="楷体" w:hint="eastAsia"/>
          <w:sz w:val="30"/>
          <w:szCs w:val="30"/>
        </w:rPr>
        <w:t>一、收入支出决算总表</w:t>
      </w:r>
    </w:p>
    <w:p>
      <w:pPr>
        <w:jc w:val="left"/>
        <w:rPr>
          <w:rFonts w:ascii="楷体" w:eastAsia="楷体" w:hAnsi="楷体" w:hint="eastAsia"/>
          <w:sz w:val="30"/>
          <w:szCs w:val="30"/>
        </w:rPr>
      </w:pPr>
      <w:r>
        <w:rPr>
          <w:rFonts w:ascii="楷体" w:eastAsia="楷体" w:hAnsi="楷体" w:hint="eastAsia"/>
          <w:sz w:val="30"/>
          <w:szCs w:val="30"/>
        </w:rPr>
        <w:t>二、收入决算表</w:t>
      </w:r>
    </w:p>
    <w:p>
      <w:pPr>
        <w:jc w:val="left"/>
        <w:rPr>
          <w:rFonts w:ascii="楷体" w:eastAsia="楷体" w:hAnsi="楷体" w:hint="eastAsia"/>
          <w:sz w:val="30"/>
          <w:szCs w:val="30"/>
        </w:rPr>
      </w:pPr>
      <w:r>
        <w:rPr>
          <w:rFonts w:ascii="楷体" w:eastAsia="楷体" w:hAnsi="楷体" w:hint="eastAsia"/>
          <w:sz w:val="30"/>
          <w:szCs w:val="30"/>
        </w:rPr>
        <w:t>三、支出决算表</w:t>
      </w:r>
    </w:p>
    <w:p>
      <w:pPr>
        <w:jc w:val="left"/>
        <w:rPr>
          <w:rFonts w:ascii="楷体" w:eastAsia="楷体" w:hAnsi="楷体" w:hint="eastAsia"/>
          <w:sz w:val="30"/>
          <w:szCs w:val="30"/>
        </w:rPr>
      </w:pPr>
      <w:r>
        <w:rPr>
          <w:rFonts w:ascii="楷体" w:eastAsia="楷体" w:hAnsi="楷体" w:hint="eastAsia"/>
          <w:sz w:val="30"/>
          <w:szCs w:val="30"/>
        </w:rPr>
        <w:t>四、财政拨款收入支出决算总表</w:t>
      </w:r>
    </w:p>
    <w:p>
      <w:pPr>
        <w:jc w:val="left"/>
        <w:rPr>
          <w:rFonts w:ascii="楷体" w:eastAsia="楷体" w:hAnsi="楷体" w:hint="eastAsia"/>
          <w:sz w:val="30"/>
          <w:szCs w:val="30"/>
        </w:rPr>
      </w:pPr>
      <w:r>
        <w:rPr>
          <w:rFonts w:ascii="楷体" w:eastAsia="楷体" w:hAnsi="楷体" w:hint="eastAsia"/>
          <w:sz w:val="30"/>
          <w:szCs w:val="30"/>
        </w:rPr>
        <w:t>五、一般公共预算财政拨款收入支出决算表</w:t>
      </w:r>
    </w:p>
    <w:p>
      <w:pPr>
        <w:jc w:val="left"/>
        <w:rPr>
          <w:rFonts w:ascii="楷体" w:eastAsia="楷体" w:hAnsi="楷体" w:hint="eastAsia"/>
          <w:sz w:val="30"/>
          <w:szCs w:val="30"/>
        </w:rPr>
      </w:pPr>
      <w:r>
        <w:rPr>
          <w:rFonts w:ascii="楷体" w:eastAsia="楷体" w:hAnsi="楷体" w:hint="eastAsia"/>
          <w:sz w:val="30"/>
          <w:szCs w:val="30"/>
        </w:rPr>
        <w:t>六、一般公共预算财政拨款基本支出决算表</w:t>
      </w:r>
    </w:p>
    <w:p>
      <w:pPr>
        <w:jc w:val="left"/>
        <w:rPr>
          <w:rFonts w:ascii="楷体" w:eastAsia="楷体" w:hAnsi="楷体" w:hint="eastAsia"/>
          <w:sz w:val="30"/>
          <w:szCs w:val="30"/>
        </w:rPr>
      </w:pPr>
      <w:r>
        <w:rPr>
          <w:rFonts w:ascii="楷体" w:eastAsia="楷体" w:hAnsi="楷体" w:hint="eastAsia"/>
          <w:sz w:val="30"/>
          <w:szCs w:val="30"/>
        </w:rPr>
        <w:t>七、政府性基金预算财政拨款收入支出决算表</w:t>
      </w:r>
    </w:p>
    <w:p>
      <w:pPr>
        <w:jc w:val="left"/>
        <w:rPr>
          <w:rFonts w:ascii="楷体" w:eastAsia="楷体" w:hAnsi="楷体" w:hint="eastAsia"/>
          <w:sz w:val="30"/>
          <w:szCs w:val="30"/>
        </w:rPr>
      </w:pPr>
      <w:r>
        <w:rPr>
          <w:rFonts w:ascii="楷体" w:eastAsia="楷体" w:hAnsi="楷体" w:hint="eastAsia"/>
          <w:sz w:val="30"/>
          <w:szCs w:val="30"/>
        </w:rPr>
        <w:t>八、财政专户管理资金收入支出决算表</w:t>
      </w:r>
    </w:p>
    <w:p>
      <w:pPr>
        <w:jc w:val="left"/>
        <w:rPr>
          <w:rFonts w:ascii="楷体" w:eastAsia="楷体" w:hAnsi="楷体" w:hint="eastAsia"/>
          <w:sz w:val="30"/>
          <w:szCs w:val="30"/>
        </w:rPr>
      </w:pPr>
      <w:r>
        <w:rPr>
          <w:rFonts w:ascii="楷体" w:eastAsia="楷体" w:hAnsi="楷体" w:hint="eastAsia"/>
          <w:sz w:val="30"/>
          <w:szCs w:val="30"/>
        </w:rPr>
        <w:t>九、</w:t>
      </w:r>
      <w:r>
        <w:rPr>
          <w:rFonts w:ascii="楷体" w:eastAsia="楷体" w:hAnsi="楷体" w:hint="eastAsia"/>
          <w:sz w:val="30"/>
          <w:szCs w:val="30"/>
        </w:rPr>
        <w:t>“</w:t>
      </w:r>
      <w:r>
        <w:rPr>
          <w:rFonts w:ascii="楷体" w:eastAsia="楷体" w:hAnsi="楷体" w:hint="eastAsia"/>
          <w:sz w:val="30"/>
          <w:szCs w:val="30"/>
        </w:rPr>
        <w:t>三公</w:t>
      </w:r>
      <w:r>
        <w:rPr>
          <w:rFonts w:ascii="楷体" w:eastAsia="楷体" w:hAnsi="楷体" w:hint="eastAsia"/>
          <w:sz w:val="30"/>
          <w:szCs w:val="30"/>
        </w:rPr>
        <w:t>”</w:t>
      </w:r>
      <w:r>
        <w:rPr>
          <w:rFonts w:ascii="楷体" w:eastAsia="楷体" w:hAnsi="楷体" w:hint="eastAsia"/>
          <w:sz w:val="30"/>
          <w:szCs w:val="30"/>
        </w:rPr>
        <w:t>经费、行政参公单位机关运行经费情况表</w:t>
      </w:r>
    </w:p>
    <w:p>
      <w:pPr>
        <w:jc w:val="left"/>
        <w:rPr>
          <w:rFonts w:ascii="黑体" w:eastAsia="黑体" w:hAnsi="黑体" w:hint="eastAsia"/>
          <w:sz w:val="30"/>
          <w:szCs w:val="30"/>
        </w:rPr>
      </w:pPr>
      <w:r>
        <w:rPr>
          <w:rFonts w:ascii="黑体" w:eastAsia="黑体" w:hAnsi="黑体" w:hint="eastAsia"/>
          <w:sz w:val="30"/>
          <w:szCs w:val="30"/>
        </w:rPr>
        <w:t>第三部</w:t>
      </w:r>
      <w:r>
        <w:rPr>
          <w:rFonts w:ascii="黑体" w:eastAsia="黑体" w:hAnsi="黑体" w:hint="eastAsia"/>
          <w:sz w:val="30"/>
          <w:szCs w:val="30"/>
          <w:lang w:eastAsia="zh-CN"/>
        </w:rPr>
        <w:t>分</w:t>
      </w:r>
      <w:r>
        <w:rPr>
          <w:rFonts w:ascii="黑体" w:eastAsia="黑体" w:hAnsi="黑体" w:hint="eastAsia"/>
          <w:sz w:val="30"/>
          <w:szCs w:val="30"/>
        </w:rPr>
        <w:t xml:space="preserve"> </w:t>
      </w:r>
      <w:r>
        <w:rPr>
          <w:rFonts w:ascii="黑体" w:eastAsia="黑体" w:hAnsi="黑体" w:hint="eastAsia"/>
          <w:sz w:val="30"/>
          <w:szCs w:val="30"/>
          <w:lang w:val="en-US" w:eastAsia="zh-CN"/>
        </w:rPr>
        <w:t>2018</w:t>
      </w:r>
      <w:r>
        <w:rPr>
          <w:rFonts w:ascii="黑体" w:eastAsia="黑体" w:hAnsi="黑体" w:hint="eastAsia"/>
          <w:sz w:val="30"/>
          <w:szCs w:val="30"/>
        </w:rPr>
        <w:t>年度部门决算情况说明</w:t>
      </w:r>
    </w:p>
    <w:p>
      <w:pPr>
        <w:jc w:val="left"/>
        <w:rPr>
          <w:rFonts w:ascii="楷体" w:eastAsia="楷体" w:hAnsi="楷体" w:hint="eastAsia"/>
          <w:sz w:val="30"/>
          <w:szCs w:val="30"/>
        </w:rPr>
      </w:pPr>
      <w:r>
        <w:rPr>
          <w:rFonts w:ascii="楷体" w:eastAsia="楷体" w:hAnsi="楷体" w:hint="eastAsia"/>
          <w:sz w:val="30"/>
          <w:szCs w:val="30"/>
        </w:rPr>
        <w:t>一、收入决算情况说明</w:t>
      </w:r>
    </w:p>
    <w:p>
      <w:pPr>
        <w:jc w:val="left"/>
        <w:rPr>
          <w:rFonts w:ascii="楷体" w:eastAsia="楷体" w:hAnsi="楷体" w:hint="eastAsia"/>
          <w:sz w:val="30"/>
          <w:szCs w:val="30"/>
        </w:rPr>
      </w:pPr>
      <w:r>
        <w:rPr>
          <w:rFonts w:ascii="楷体" w:eastAsia="楷体" w:hAnsi="楷体" w:hint="eastAsia"/>
          <w:sz w:val="30"/>
          <w:szCs w:val="30"/>
        </w:rPr>
        <w:t>二、支出决算情况说明</w:t>
      </w:r>
    </w:p>
    <w:p>
      <w:pPr>
        <w:jc w:val="left"/>
        <w:rPr>
          <w:rFonts w:ascii="楷体" w:eastAsia="楷体" w:hAnsi="楷体" w:hint="eastAsia"/>
          <w:sz w:val="30"/>
          <w:szCs w:val="30"/>
        </w:rPr>
      </w:pPr>
      <w:r>
        <w:rPr>
          <w:rFonts w:ascii="楷体" w:eastAsia="楷体" w:hAnsi="楷体" w:hint="eastAsia"/>
          <w:sz w:val="30"/>
          <w:szCs w:val="30"/>
        </w:rPr>
        <w:t>三、一般公共预算财政拨款支出决算情况说明</w:t>
      </w:r>
    </w:p>
    <w:p>
      <w:pPr>
        <w:widowControl/>
        <w:snapToGrid w:val="0"/>
        <w:spacing w:before="100" w:after="100" w:line="360" w:lineRule="auto"/>
        <w:jc w:val="left"/>
        <w:rPr>
          <w:rFonts w:ascii="楷体" w:eastAsia="楷体" w:hAnsi="楷体" w:hint="eastAsia"/>
          <w:sz w:val="30"/>
          <w:szCs w:val="30"/>
        </w:rPr>
      </w:pPr>
      <w:r>
        <w:rPr>
          <w:rFonts w:ascii="楷体" w:eastAsia="楷体" w:hAnsi="楷体" w:hint="eastAsia"/>
          <w:sz w:val="30"/>
          <w:szCs w:val="30"/>
        </w:rPr>
        <w:t>四、一般公共预算财政拨款</w:t>
      </w:r>
      <w:r>
        <w:rPr>
          <w:rFonts w:ascii="楷体" w:eastAsia="楷体" w:hAnsi="楷体" w:hint="eastAsia"/>
          <w:sz w:val="30"/>
          <w:szCs w:val="30"/>
        </w:rPr>
        <w:t>“</w:t>
      </w:r>
      <w:r>
        <w:rPr>
          <w:rFonts w:ascii="楷体" w:eastAsia="楷体" w:hAnsi="楷体" w:hint="eastAsia"/>
          <w:sz w:val="30"/>
          <w:szCs w:val="30"/>
        </w:rPr>
        <w:t>三公</w:t>
      </w:r>
      <w:r>
        <w:rPr>
          <w:rFonts w:ascii="楷体" w:eastAsia="楷体" w:hAnsi="楷体" w:hint="eastAsia"/>
          <w:sz w:val="30"/>
          <w:szCs w:val="30"/>
        </w:rPr>
        <w:t>”</w:t>
      </w:r>
      <w:r>
        <w:rPr>
          <w:rFonts w:ascii="楷体" w:eastAsia="楷体" w:hAnsi="楷体" w:hint="eastAsia"/>
          <w:sz w:val="30"/>
          <w:szCs w:val="30"/>
        </w:rPr>
        <w:t>经费支出决算情况说明</w:t>
      </w:r>
    </w:p>
    <w:p>
      <w:pPr>
        <w:widowControl/>
        <w:snapToGrid w:val="0"/>
        <w:spacing w:before="100" w:after="100" w:line="360" w:lineRule="auto"/>
        <w:jc w:val="left"/>
        <w:rPr>
          <w:rFonts w:ascii="黑体" w:eastAsia="黑体" w:hAnsi="黑体" w:hint="eastAsia"/>
          <w:sz w:val="30"/>
          <w:szCs w:val="30"/>
        </w:rPr>
      </w:pPr>
      <w:r>
        <w:rPr>
          <w:rFonts w:ascii="黑体" w:eastAsia="黑体" w:hAnsi="黑体" w:hint="eastAsia"/>
          <w:sz w:val="30"/>
          <w:szCs w:val="30"/>
          <w:lang w:eastAsia="zh-CN"/>
        </w:rPr>
        <w:t>第四部分</w:t>
      </w:r>
      <w:r>
        <w:rPr>
          <w:rFonts w:ascii="楷体" w:eastAsia="楷体" w:hAnsi="楷体" w:hint="eastAsia"/>
          <w:sz w:val="30"/>
          <w:szCs w:val="30"/>
          <w:lang w:val="en-US" w:eastAsia="zh-CN"/>
        </w:rPr>
        <w:t xml:space="preserve">  </w:t>
      </w:r>
      <w:r>
        <w:rPr>
          <w:rFonts w:ascii="黑体" w:eastAsia="黑体" w:hAnsi="黑体" w:hint="eastAsia"/>
          <w:sz w:val="30"/>
          <w:szCs w:val="30"/>
        </w:rPr>
        <w:t>其他重要事项及相关口径情况说明</w:t>
      </w:r>
    </w:p>
    <w:p>
      <w:pPr>
        <w:jc w:val="left"/>
        <w:rPr>
          <w:rFonts w:ascii="楷体" w:eastAsia="楷体" w:hAnsi="楷体" w:hint="eastAsia"/>
          <w:sz w:val="30"/>
          <w:szCs w:val="30"/>
          <w:lang w:eastAsia="zh-CN"/>
        </w:rPr>
      </w:pPr>
      <w:r>
        <w:rPr>
          <w:rFonts w:ascii="楷体" w:eastAsia="楷体" w:hAnsi="楷体" w:hint="eastAsia"/>
          <w:sz w:val="30"/>
          <w:szCs w:val="30"/>
          <w:lang w:eastAsia="zh-CN"/>
        </w:rPr>
        <w:t>一、</w:t>
      </w:r>
      <w:r>
        <w:rPr>
          <w:rFonts w:ascii="楷体" w:eastAsia="楷体" w:hAnsi="楷体" w:hint="eastAsia"/>
          <w:sz w:val="30"/>
          <w:szCs w:val="30"/>
        </w:rPr>
        <w:t>机关运行经费支出情况</w:t>
      </w:r>
    </w:p>
    <w:p>
      <w:pPr>
        <w:jc w:val="left"/>
        <w:rPr>
          <w:rFonts w:ascii="楷体" w:eastAsia="楷体" w:hAnsi="楷体" w:hint="eastAsia"/>
          <w:sz w:val="30"/>
          <w:szCs w:val="30"/>
          <w:lang w:eastAsia="zh-CN"/>
        </w:rPr>
      </w:pPr>
      <w:r>
        <w:rPr>
          <w:rFonts w:ascii="楷体" w:eastAsia="楷体" w:hAnsi="楷体" w:hint="eastAsia"/>
          <w:sz w:val="30"/>
          <w:szCs w:val="30"/>
          <w:lang w:eastAsia="zh-CN"/>
        </w:rPr>
        <w:t>二、</w:t>
      </w:r>
      <w:r>
        <w:rPr>
          <w:rFonts w:ascii="楷体" w:eastAsia="楷体" w:hAnsi="楷体" w:hint="eastAsia"/>
          <w:sz w:val="30"/>
          <w:szCs w:val="30"/>
        </w:rPr>
        <w:t>国有资产占用情况</w:t>
      </w:r>
    </w:p>
    <w:p>
      <w:pPr>
        <w:jc w:val="left"/>
        <w:rPr>
          <w:rFonts w:ascii="楷体" w:eastAsia="楷体" w:hAnsi="楷体" w:hint="eastAsia"/>
          <w:sz w:val="30"/>
          <w:szCs w:val="30"/>
          <w:lang w:eastAsia="zh-CN"/>
        </w:rPr>
      </w:pPr>
      <w:r>
        <w:rPr>
          <w:rFonts w:ascii="楷体" w:eastAsia="楷体" w:hAnsi="楷体" w:hint="eastAsia"/>
          <w:sz w:val="30"/>
          <w:szCs w:val="30"/>
          <w:lang w:eastAsia="zh-CN"/>
        </w:rPr>
        <w:t>三、</w:t>
      </w:r>
      <w:r>
        <w:rPr>
          <w:rFonts w:ascii="楷体" w:eastAsia="楷体" w:hAnsi="楷体" w:hint="eastAsia"/>
          <w:sz w:val="30"/>
          <w:szCs w:val="30"/>
        </w:rPr>
        <w:t>政府采购支出情况</w:t>
      </w:r>
    </w:p>
    <w:p>
      <w:pPr>
        <w:jc w:val="left"/>
        <w:rPr>
          <w:rFonts w:ascii="楷体" w:eastAsia="楷体" w:hAnsi="楷体" w:hint="eastAsia"/>
          <w:sz w:val="30"/>
          <w:szCs w:val="30"/>
          <w:lang w:val="en-US" w:eastAsia="zh-CN"/>
        </w:rPr>
      </w:pPr>
      <w:r>
        <w:rPr>
          <w:rFonts w:ascii="楷体" w:eastAsia="楷体" w:hAnsi="楷体" w:hint="eastAsia"/>
          <w:sz w:val="30"/>
          <w:szCs w:val="30"/>
          <w:lang w:eastAsia="zh-CN"/>
        </w:rPr>
        <w:t>四、</w:t>
      </w:r>
      <w:r>
        <w:rPr>
          <w:rFonts w:ascii="楷体" w:eastAsia="楷体" w:hAnsi="楷体" w:hint="eastAsia"/>
          <w:sz w:val="30"/>
          <w:szCs w:val="30"/>
          <w:lang w:val="en-US" w:eastAsia="zh-CN"/>
        </w:rPr>
        <w:t>部门绩效自评情况</w:t>
      </w:r>
    </w:p>
    <w:p>
      <w:pPr>
        <w:jc w:val="left"/>
        <w:rPr>
          <w:rFonts w:ascii="楷体" w:eastAsia="楷体" w:hAnsi="楷体" w:hint="eastAsia"/>
          <w:sz w:val="30"/>
          <w:szCs w:val="30"/>
          <w:lang w:val="en-US" w:eastAsia="zh-CN"/>
        </w:rPr>
      </w:pPr>
      <w:r>
        <w:rPr>
          <w:rFonts w:ascii="楷体" w:eastAsia="楷体" w:hAnsi="楷体" w:hint="eastAsia"/>
          <w:sz w:val="30"/>
          <w:szCs w:val="30"/>
          <w:lang w:val="en-US" w:eastAsia="zh-CN"/>
        </w:rPr>
        <w:t>（一）</w:t>
      </w:r>
      <w:r>
        <w:rPr>
          <w:rFonts w:ascii="楷体" w:eastAsia="楷体" w:hAnsi="楷体" w:hint="eastAsia"/>
          <w:sz w:val="30"/>
          <w:szCs w:val="30"/>
          <w:lang w:eastAsia="zh-CN"/>
        </w:rPr>
        <w:t>项目支出概况</w:t>
      </w:r>
    </w:p>
    <w:p>
      <w:pPr>
        <w:jc w:val="left"/>
        <w:rPr>
          <w:rFonts w:ascii="楷体" w:eastAsia="楷体" w:hAnsi="楷体" w:hint="eastAsia"/>
          <w:sz w:val="30"/>
          <w:szCs w:val="30"/>
          <w:lang w:val="en-US" w:eastAsia="zh-CN"/>
        </w:rPr>
      </w:pPr>
      <w:r>
        <w:rPr>
          <w:rFonts w:ascii="楷体" w:eastAsia="楷体" w:hAnsi="楷体" w:hint="eastAsia"/>
          <w:sz w:val="30"/>
          <w:szCs w:val="30"/>
          <w:lang w:val="en-US" w:eastAsia="zh-CN"/>
        </w:rPr>
        <w:t>（二）</w:t>
      </w:r>
      <w:r>
        <w:rPr>
          <w:rFonts w:ascii="楷体" w:eastAsia="楷体" w:hAnsi="楷体" w:hint="eastAsia"/>
          <w:sz w:val="30"/>
          <w:szCs w:val="30"/>
          <w:lang w:eastAsia="zh-CN"/>
        </w:rPr>
        <w:t>项目支出绩效自评</w:t>
      </w:r>
    </w:p>
    <w:p>
      <w:pPr>
        <w:jc w:val="left"/>
        <w:rPr>
          <w:rFonts w:ascii="楷体" w:eastAsia="楷体" w:hAnsi="楷体" w:hint="eastAsia"/>
          <w:sz w:val="30"/>
          <w:szCs w:val="30"/>
          <w:lang w:val="en-US" w:eastAsia="zh-CN"/>
        </w:rPr>
      </w:pPr>
      <w:r>
        <w:rPr>
          <w:rFonts w:ascii="楷体" w:eastAsia="楷体" w:hAnsi="楷体" w:hint="eastAsia"/>
          <w:sz w:val="30"/>
          <w:szCs w:val="30"/>
          <w:lang w:val="en-US" w:eastAsia="zh-CN"/>
        </w:rPr>
        <w:t>（三）</w:t>
      </w:r>
      <w:r>
        <w:rPr>
          <w:rFonts w:ascii="楷体" w:eastAsia="楷体" w:hAnsi="楷体" w:hint="eastAsia"/>
          <w:sz w:val="30"/>
          <w:szCs w:val="30"/>
          <w:lang w:eastAsia="zh-CN"/>
        </w:rPr>
        <w:t>项目绩效目标管理</w:t>
      </w:r>
    </w:p>
    <w:p>
      <w:pPr>
        <w:jc w:val="left"/>
        <w:rPr>
          <w:rFonts w:ascii="楷体" w:eastAsia="楷体" w:hAnsi="楷体" w:hint="eastAsia"/>
          <w:sz w:val="30"/>
          <w:szCs w:val="30"/>
          <w:lang w:val="en-US" w:eastAsia="zh-CN"/>
        </w:rPr>
      </w:pPr>
      <w:r>
        <w:rPr>
          <w:rFonts w:ascii="楷体" w:eastAsia="楷体" w:hAnsi="楷体" w:hint="eastAsia"/>
          <w:sz w:val="30"/>
          <w:szCs w:val="30"/>
          <w:lang w:val="en-US" w:eastAsia="zh-CN"/>
        </w:rPr>
        <w:t>（四）</w:t>
      </w:r>
      <w:r>
        <w:rPr>
          <w:rFonts w:ascii="楷体" w:eastAsia="楷体" w:hAnsi="楷体" w:hint="eastAsia"/>
          <w:sz w:val="30"/>
          <w:szCs w:val="30"/>
          <w:lang w:eastAsia="zh-CN"/>
        </w:rPr>
        <w:t>2018部门整体支出绩效自评报告</w:t>
      </w:r>
    </w:p>
    <w:p>
      <w:pPr>
        <w:jc w:val="left"/>
        <w:rPr>
          <w:rFonts w:ascii="楷体" w:eastAsia="楷体" w:hAnsi="楷体" w:hint="eastAsia"/>
          <w:sz w:val="30"/>
          <w:szCs w:val="30"/>
          <w:lang w:val="en-US" w:eastAsia="zh-CN"/>
        </w:rPr>
      </w:pPr>
      <w:r>
        <w:rPr>
          <w:rFonts w:ascii="楷体" w:eastAsia="楷体" w:hAnsi="楷体" w:hint="eastAsia"/>
          <w:sz w:val="30"/>
          <w:szCs w:val="30"/>
          <w:lang w:val="en-US" w:eastAsia="zh-CN"/>
        </w:rPr>
        <w:t>（五）</w:t>
      </w:r>
      <w:r>
        <w:rPr>
          <w:rFonts w:ascii="楷体" w:eastAsia="楷体" w:hAnsi="楷体" w:hint="eastAsia"/>
          <w:sz w:val="30"/>
          <w:szCs w:val="30"/>
          <w:lang w:eastAsia="zh-CN"/>
        </w:rPr>
        <w:t>部门整体支出绩效自评表</w:t>
      </w:r>
    </w:p>
    <w:p>
      <w:pPr>
        <w:jc w:val="left"/>
        <w:rPr>
          <w:rFonts w:ascii="楷体" w:eastAsia="楷体" w:hAnsi="楷体" w:hint="eastAsia"/>
          <w:sz w:val="30"/>
          <w:szCs w:val="30"/>
          <w:lang w:eastAsia="zh-CN"/>
        </w:rPr>
      </w:pPr>
      <w:r>
        <w:rPr>
          <w:rFonts w:ascii="楷体" w:eastAsia="楷体" w:hAnsi="楷体" w:hint="eastAsia"/>
          <w:sz w:val="30"/>
          <w:szCs w:val="30"/>
          <w:lang w:eastAsia="zh-CN"/>
        </w:rPr>
        <w:t>五、</w:t>
      </w:r>
      <w:r>
        <w:rPr>
          <w:rFonts w:ascii="楷体" w:eastAsia="楷体" w:hAnsi="楷体" w:hint="eastAsia"/>
          <w:sz w:val="30"/>
          <w:szCs w:val="30"/>
          <w:lang w:val="en-US" w:eastAsia="zh-CN"/>
        </w:rPr>
        <w:t>其他重要事项情况说明</w:t>
      </w:r>
    </w:p>
    <w:p>
      <w:pPr>
        <w:widowControl/>
        <w:snapToGrid w:val="0"/>
        <w:spacing w:before="100" w:after="100" w:line="360" w:lineRule="auto"/>
        <w:jc w:val="left"/>
        <w:rPr>
          <w:rFonts w:ascii="黑体" w:eastAsia="黑体" w:hAnsi="黑体" w:hint="eastAsia"/>
          <w:sz w:val="30"/>
          <w:szCs w:val="30"/>
        </w:rPr>
      </w:pPr>
      <w:r>
        <w:rPr>
          <w:rFonts w:ascii="黑体" w:eastAsia="黑体" w:hAnsi="黑体" w:hint="eastAsia"/>
          <w:sz w:val="30"/>
          <w:szCs w:val="30"/>
        </w:rPr>
        <w:t>第</w:t>
      </w:r>
      <w:r>
        <w:rPr>
          <w:rFonts w:ascii="黑体" w:eastAsia="黑体" w:hAnsi="黑体" w:hint="eastAsia"/>
          <w:sz w:val="30"/>
          <w:szCs w:val="30"/>
          <w:lang w:eastAsia="zh-CN"/>
        </w:rPr>
        <w:t>五</w:t>
      </w:r>
      <w:r>
        <w:rPr>
          <w:rFonts w:ascii="黑体" w:eastAsia="黑体" w:hAnsi="黑体" w:hint="eastAsia"/>
          <w:sz w:val="30"/>
          <w:szCs w:val="30"/>
        </w:rPr>
        <w:t>部分  名词解释</w:t>
      </w:r>
    </w:p>
    <w:p>
      <w:pPr>
        <w:jc w:val="center"/>
        <w:rPr>
          <w:rFonts w:ascii="黑体" w:eastAsia="黑体" w:hAnsi="黑体" w:hint="eastAsia"/>
          <w:sz w:val="32"/>
          <w:szCs w:val="32"/>
        </w:rPr>
      </w:pPr>
    </w:p>
    <w:p>
      <w:pPr>
        <w:jc w:val="both"/>
        <w:rPr>
          <w:rFonts w:ascii="黑体" w:eastAsia="黑体" w:hAnsi="黑体" w:hint="eastAsia"/>
          <w:sz w:val="32"/>
          <w:szCs w:val="32"/>
        </w:rPr>
      </w:pPr>
    </w:p>
    <w:p>
      <w:pPr>
        <w:jc w:val="center"/>
        <w:rPr>
          <w:rFonts w:ascii="黑体" w:eastAsia="黑体" w:hAnsi="黑体" w:hint="eastAsia"/>
          <w:sz w:val="32"/>
          <w:szCs w:val="32"/>
        </w:rPr>
      </w:pPr>
    </w:p>
    <w:p>
      <w:pPr>
        <w:jc w:val="center"/>
        <w:rPr>
          <w:rFonts w:ascii="黑体" w:eastAsia="黑体" w:hAnsi="黑体" w:hint="eastAsia"/>
          <w:sz w:val="32"/>
          <w:szCs w:val="32"/>
        </w:rPr>
      </w:pPr>
    </w:p>
    <w:p>
      <w:pPr>
        <w:jc w:val="center"/>
        <w:rPr>
          <w:rFonts w:ascii="黑体" w:eastAsia="黑体" w:hAnsi="黑体" w:hint="eastAsia"/>
          <w:sz w:val="32"/>
          <w:szCs w:val="32"/>
        </w:rPr>
      </w:pPr>
    </w:p>
    <w:p>
      <w:pPr>
        <w:jc w:val="center"/>
        <w:rPr>
          <w:rFonts w:ascii="黑体" w:eastAsia="黑体" w:hAnsi="黑体" w:hint="eastAsia"/>
          <w:sz w:val="32"/>
          <w:szCs w:val="32"/>
        </w:rPr>
      </w:pPr>
    </w:p>
    <w:p>
      <w:pPr>
        <w:jc w:val="center"/>
        <w:rPr>
          <w:rFonts w:ascii="黑体" w:eastAsia="黑体" w:hAnsi="黑体" w:hint="eastAsia"/>
          <w:sz w:val="32"/>
          <w:szCs w:val="32"/>
        </w:rPr>
      </w:pPr>
    </w:p>
    <w:p>
      <w:pPr>
        <w:jc w:val="center"/>
        <w:rPr>
          <w:rFonts w:ascii="黑体" w:eastAsia="黑体" w:hAnsi="黑体" w:hint="eastAsia"/>
          <w:sz w:val="32"/>
          <w:szCs w:val="32"/>
        </w:rPr>
      </w:pPr>
    </w:p>
    <w:p>
      <w:pPr>
        <w:jc w:val="center"/>
        <w:rPr>
          <w:rFonts w:ascii="黑体" w:eastAsia="黑体" w:hAnsi="黑体" w:hint="eastAsia"/>
          <w:sz w:val="32"/>
          <w:szCs w:val="32"/>
        </w:rPr>
      </w:pPr>
    </w:p>
    <w:p>
      <w:pPr>
        <w:jc w:val="center"/>
        <w:rPr>
          <w:rFonts w:ascii="黑体" w:eastAsia="黑体" w:hAnsi="黑体" w:hint="eastAsia"/>
          <w:sz w:val="32"/>
          <w:szCs w:val="32"/>
        </w:rPr>
      </w:pPr>
      <w:r>
        <w:rPr>
          <w:rFonts w:ascii="黑体" w:eastAsia="黑体" w:hAnsi="黑体" w:hint="eastAsia"/>
          <w:sz w:val="32"/>
          <w:szCs w:val="32"/>
        </w:rPr>
        <w:t xml:space="preserve">第一部分  </w:t>
      </w:r>
      <w:r>
        <w:rPr>
          <w:rFonts w:ascii="黑体" w:eastAsia="黑体" w:hAnsi="黑体" w:hint="eastAsia"/>
          <w:sz w:val="32"/>
          <w:szCs w:val="32"/>
          <w:lang w:eastAsia="zh-CN"/>
        </w:rPr>
        <w:t>迪庆州住房公积金管理中心</w:t>
      </w:r>
      <w:r>
        <w:rPr>
          <w:rFonts w:ascii="黑体" w:eastAsia="黑体" w:hAnsi="黑体" w:hint="eastAsia"/>
          <w:sz w:val="32"/>
          <w:szCs w:val="32"/>
        </w:rPr>
        <w:t>概况</w:t>
      </w:r>
    </w:p>
    <w:p>
      <w:pPr>
        <w:spacing w:line="600" w:lineRule="exact"/>
        <w:ind w:firstLine="600" w:firstLineChars="200"/>
        <w:rPr>
          <w:rFonts w:ascii="黑体" w:eastAsia="黑体" w:hAnsi="黑体" w:hint="eastAsia"/>
          <w:sz w:val="30"/>
          <w:szCs w:val="30"/>
        </w:rPr>
      </w:pPr>
      <w:r>
        <w:rPr>
          <w:rFonts w:ascii="黑体" w:eastAsia="黑体" w:hAnsi="黑体" w:hint="eastAsia"/>
          <w:sz w:val="30"/>
          <w:szCs w:val="30"/>
        </w:rPr>
        <w:t>一、主要职能</w:t>
      </w:r>
    </w:p>
    <w:p>
      <w:pPr>
        <w:spacing w:line="600" w:lineRule="exact"/>
        <w:ind w:firstLine="600" w:firstLineChars="200"/>
        <w:rPr>
          <w:rFonts w:ascii="楷体" w:eastAsia="楷体" w:hAnsi="楷体" w:hint="eastAsia"/>
          <w:sz w:val="30"/>
          <w:szCs w:val="30"/>
        </w:rPr>
      </w:pPr>
      <w:r>
        <w:rPr>
          <w:rFonts w:ascii="楷体" w:eastAsia="楷体" w:hAnsi="楷体" w:hint="eastAsia"/>
          <w:bCs/>
          <w:sz w:val="30"/>
          <w:szCs w:val="30"/>
        </w:rPr>
        <w:t>（一）主要职能</w:t>
      </w:r>
    </w:p>
    <w:p>
      <w:pPr>
        <w:pStyle w:val="BodyText"/>
        <w:adjustRightInd w:val="0"/>
        <w:snapToGrid w:val="0"/>
        <w:spacing w:line="600" w:lineRule="exact"/>
        <w:ind w:firstLine="630" w:firstLineChars="210"/>
        <w:rPr>
          <w:rFonts w:hint="eastAsia"/>
          <w:bCs/>
          <w:szCs w:val="30"/>
        </w:rPr>
      </w:pPr>
      <w:r>
        <w:rPr>
          <w:rFonts w:hint="eastAsia"/>
          <w:bCs/>
          <w:szCs w:val="30"/>
        </w:rPr>
        <w:t>1、贯彻执行有关住房公积金管理的法规、规章和政策；结合本州实际，拟订住房公积金具体管理办法和措施，经州住房公积金管理委员会审议通过后实施。</w:t>
      </w:r>
    </w:p>
    <w:p>
      <w:pPr>
        <w:pStyle w:val="BodyText"/>
        <w:adjustRightInd w:val="0"/>
        <w:snapToGrid w:val="0"/>
        <w:spacing w:line="600" w:lineRule="exact"/>
        <w:ind w:firstLine="630" w:firstLineChars="210"/>
        <w:rPr>
          <w:rFonts w:hint="eastAsia"/>
          <w:bCs/>
          <w:szCs w:val="30"/>
        </w:rPr>
      </w:pPr>
      <w:r>
        <w:rPr>
          <w:rFonts w:hint="eastAsia"/>
          <w:bCs/>
          <w:szCs w:val="30"/>
        </w:rPr>
        <w:t>2、 编制住房公积金的归集、使用计划，经州住房公积金管理委员会批准后组织执行；编制住房公积金归集、使用计划执行情况的报告。</w:t>
      </w:r>
    </w:p>
    <w:p>
      <w:pPr>
        <w:pStyle w:val="BodyText"/>
        <w:adjustRightInd w:val="0"/>
        <w:snapToGrid w:val="0"/>
        <w:spacing w:line="600" w:lineRule="exact"/>
        <w:ind w:firstLine="630" w:firstLineChars="210"/>
        <w:rPr>
          <w:rFonts w:hint="eastAsia"/>
          <w:bCs/>
          <w:szCs w:val="30"/>
        </w:rPr>
      </w:pPr>
      <w:r>
        <w:rPr>
          <w:rFonts w:hint="eastAsia"/>
          <w:bCs/>
          <w:szCs w:val="30"/>
        </w:rPr>
        <w:t>3 、负责记载职工住房公积金的缴存、提取、使用等情况，建立职工住房公积金个人明细账，向职工发放缴存住房公积金的有效凭证。</w:t>
      </w:r>
    </w:p>
    <w:p>
      <w:pPr>
        <w:pStyle w:val="BodyText"/>
        <w:adjustRightInd w:val="0"/>
        <w:snapToGrid w:val="0"/>
        <w:spacing w:line="600" w:lineRule="exact"/>
        <w:ind w:firstLine="630" w:firstLineChars="210"/>
        <w:rPr>
          <w:rFonts w:hint="eastAsia"/>
          <w:bCs/>
          <w:szCs w:val="30"/>
        </w:rPr>
      </w:pPr>
      <w:r>
        <w:rPr>
          <w:rFonts w:hint="eastAsia"/>
          <w:bCs/>
          <w:szCs w:val="30"/>
        </w:rPr>
        <w:t>4 、编制住房公积金的预算、决算，经州财政局审核，报州住房公积金管理委员会审议后组织执行。</w:t>
      </w:r>
    </w:p>
    <w:p>
      <w:pPr>
        <w:pStyle w:val="BodyText"/>
        <w:adjustRightInd w:val="0"/>
        <w:snapToGrid w:val="0"/>
        <w:spacing w:line="600" w:lineRule="exact"/>
        <w:ind w:firstLine="630" w:firstLineChars="210"/>
        <w:rPr>
          <w:rFonts w:hint="eastAsia"/>
          <w:bCs/>
          <w:szCs w:val="30"/>
        </w:rPr>
      </w:pPr>
      <w:r>
        <w:rPr>
          <w:rFonts w:hint="eastAsia"/>
          <w:bCs/>
          <w:szCs w:val="30"/>
        </w:rPr>
        <w:t>5 、负责住房公积金的统一核算；负责住房公积金的保值、增值和归还，提出住房公积金增值收益分配方案，经州财政局审核，报州住房公积金管理委员会审议后执行；申请并办理住房公积金呆坏帐的核销。</w:t>
      </w:r>
    </w:p>
    <w:p>
      <w:pPr>
        <w:pStyle w:val="BodyText"/>
        <w:adjustRightInd w:val="0"/>
        <w:snapToGrid w:val="0"/>
        <w:spacing w:line="600" w:lineRule="exact"/>
        <w:ind w:firstLine="630" w:firstLineChars="210"/>
        <w:rPr>
          <w:rFonts w:hint="eastAsia"/>
          <w:bCs/>
          <w:szCs w:val="30"/>
        </w:rPr>
      </w:pPr>
      <w:r>
        <w:rPr>
          <w:rFonts w:hint="eastAsia"/>
          <w:bCs/>
          <w:szCs w:val="30"/>
        </w:rPr>
        <w:t>6 、负责住房公积金的归集；经州住房公积金管理委员会批准，审核、办理单位降低住房公积金缴存比例或者缓缴的申请；审批住房公积金的提取和个人住房公积金贷款的发放。</w:t>
      </w:r>
    </w:p>
    <w:p>
      <w:pPr>
        <w:pStyle w:val="BodyText"/>
        <w:adjustRightInd w:val="0"/>
        <w:snapToGrid w:val="0"/>
        <w:spacing w:line="600" w:lineRule="exact"/>
        <w:ind w:firstLine="630" w:firstLineChars="210"/>
        <w:rPr>
          <w:rFonts w:hint="eastAsia"/>
          <w:bCs/>
          <w:szCs w:val="30"/>
        </w:rPr>
      </w:pPr>
      <w:r>
        <w:rPr>
          <w:rFonts w:hint="eastAsia"/>
          <w:bCs/>
          <w:szCs w:val="30"/>
        </w:rPr>
        <w:t>7 、提出本州住房公积金的具体缴存比例，经州住房公积金管理委员会审议后，报州政府批准，并负责组织实施缴存比例和基数的调整。</w:t>
      </w:r>
    </w:p>
    <w:p>
      <w:pPr>
        <w:pStyle w:val="BodyText"/>
        <w:adjustRightInd w:val="0"/>
        <w:snapToGrid w:val="0"/>
        <w:spacing w:line="600" w:lineRule="exact"/>
        <w:ind w:firstLine="630" w:firstLineChars="210"/>
        <w:rPr>
          <w:rFonts w:hint="eastAsia"/>
          <w:bCs/>
          <w:szCs w:val="30"/>
        </w:rPr>
      </w:pPr>
      <w:r>
        <w:rPr>
          <w:rFonts w:hint="eastAsia"/>
          <w:bCs/>
          <w:szCs w:val="30"/>
        </w:rPr>
        <w:t>8 、对区县公积金中心、受托银行的住房公积金委托业务进行指导、监督和考核。</w:t>
      </w:r>
    </w:p>
    <w:p>
      <w:pPr>
        <w:pStyle w:val="BodyText"/>
        <w:adjustRightInd w:val="0"/>
        <w:snapToGrid w:val="0"/>
        <w:spacing w:line="600" w:lineRule="exact"/>
        <w:ind w:firstLine="630" w:firstLineChars="210"/>
        <w:rPr>
          <w:rFonts w:hint="eastAsia"/>
          <w:bCs/>
          <w:szCs w:val="30"/>
        </w:rPr>
      </w:pPr>
      <w:r>
        <w:rPr>
          <w:rFonts w:hint="eastAsia"/>
          <w:bCs/>
          <w:szCs w:val="30"/>
        </w:rPr>
        <w:t>9 、拟定住房公积金年度财务报告，报州住房公积金管理委员会审议通过后，向社会公布。</w:t>
      </w:r>
    </w:p>
    <w:p>
      <w:pPr>
        <w:pStyle w:val="BodyText"/>
        <w:adjustRightInd w:val="0"/>
        <w:snapToGrid w:val="0"/>
        <w:spacing w:line="600" w:lineRule="exact"/>
        <w:ind w:firstLine="630" w:firstLineChars="210"/>
        <w:rPr>
          <w:rFonts w:hint="eastAsia"/>
          <w:bCs/>
          <w:szCs w:val="30"/>
        </w:rPr>
      </w:pPr>
      <w:r>
        <w:rPr>
          <w:rFonts w:hint="eastAsia"/>
          <w:bCs/>
          <w:szCs w:val="30"/>
        </w:rPr>
        <w:t>10 、监督单位住房公积金的建立、缴存情况，对违反住房公积金管理规定的行为实施行政处罚。</w:t>
      </w:r>
    </w:p>
    <w:p>
      <w:pPr>
        <w:pStyle w:val="BodyText"/>
        <w:adjustRightInd w:val="0"/>
        <w:snapToGrid w:val="0"/>
        <w:spacing w:line="600" w:lineRule="exact"/>
        <w:ind w:firstLine="630" w:firstLineChars="210"/>
        <w:rPr>
          <w:rFonts w:hint="eastAsia"/>
          <w:bCs/>
          <w:szCs w:val="30"/>
        </w:rPr>
      </w:pPr>
      <w:r>
        <w:rPr>
          <w:rFonts w:hint="eastAsia"/>
          <w:bCs/>
          <w:szCs w:val="30"/>
        </w:rPr>
        <w:t>11 、承办州人民政府以及州住房公积金管理委员会决定的其他事项。</w:t>
      </w:r>
    </w:p>
    <w:p>
      <w:pPr>
        <w:pStyle w:val="BodyText"/>
        <w:adjustRightInd w:val="0"/>
        <w:snapToGrid w:val="0"/>
        <w:spacing w:line="600" w:lineRule="exact"/>
        <w:ind w:firstLine="630" w:firstLineChars="210"/>
        <w:rPr>
          <w:rFonts w:ascii="楷体" w:eastAsia="楷体" w:hAnsi="楷体" w:hint="eastAsia"/>
          <w:bCs/>
          <w:szCs w:val="30"/>
        </w:rPr>
      </w:pPr>
      <w:r>
        <w:rPr>
          <w:rFonts w:ascii="楷体" w:eastAsia="楷体" w:hAnsi="楷体" w:hint="eastAsia"/>
          <w:bCs/>
          <w:szCs w:val="30"/>
        </w:rPr>
        <w:t>（二）</w:t>
      </w:r>
      <w:r>
        <w:rPr>
          <w:rFonts w:ascii="楷体" w:eastAsia="楷体" w:hAnsi="楷体" w:hint="eastAsia"/>
          <w:bCs/>
          <w:szCs w:val="30"/>
          <w:lang w:val="en-US" w:eastAsia="zh-CN"/>
        </w:rPr>
        <w:t>2</w:t>
      </w:r>
      <w:r>
        <w:rPr>
          <w:rFonts w:ascii="楷体" w:eastAsia="楷体" w:hAnsi="楷体" w:hint="eastAsia"/>
          <w:bCs/>
          <w:szCs w:val="30"/>
          <w:lang w:val="en-US" w:eastAsia="zh-CN"/>
        </w:rPr>
        <w:t>018</w:t>
      </w:r>
      <w:r>
        <w:rPr>
          <w:rFonts w:ascii="楷体" w:eastAsia="楷体" w:hAnsi="楷体" w:hint="eastAsia"/>
          <w:bCs/>
          <w:szCs w:val="30"/>
        </w:rPr>
        <w:t>年度重点工作任务介绍</w:t>
      </w:r>
    </w:p>
    <w:p>
      <w:pPr>
        <w:pStyle w:val="BodyText"/>
        <w:adjustRightInd w:val="0"/>
        <w:snapToGrid w:val="0"/>
        <w:spacing w:line="600" w:lineRule="exact"/>
        <w:ind w:firstLine="630" w:firstLineChars="210"/>
        <w:rPr>
          <w:rFonts w:hint="eastAsia"/>
          <w:bCs/>
          <w:szCs w:val="30"/>
        </w:rPr>
      </w:pPr>
      <w:r>
        <w:rPr>
          <w:rFonts w:hint="eastAsia"/>
          <w:bCs/>
          <w:szCs w:val="30"/>
        </w:rPr>
        <w:t>1.按照州委州政府确定的年度目标任务，做好归集扩面工作，加大住房公积金使用力度。</w:t>
      </w:r>
    </w:p>
    <w:p>
      <w:pPr>
        <w:pStyle w:val="BodyText"/>
        <w:adjustRightInd w:val="0"/>
        <w:snapToGrid w:val="0"/>
        <w:spacing w:line="600" w:lineRule="exact"/>
        <w:ind w:firstLine="630" w:firstLineChars="210"/>
        <w:rPr>
          <w:rFonts w:hint="eastAsia"/>
          <w:bCs/>
          <w:szCs w:val="30"/>
        </w:rPr>
      </w:pPr>
      <w:r>
        <w:rPr>
          <w:rFonts w:hint="eastAsia"/>
          <w:bCs/>
          <w:szCs w:val="30"/>
        </w:rPr>
        <w:t>2.进一步规范服务办理流程，引进各委托银行入驻中心受理业务。</w:t>
      </w:r>
    </w:p>
    <w:p>
      <w:pPr>
        <w:pStyle w:val="BodyText"/>
        <w:adjustRightInd w:val="0"/>
        <w:snapToGrid w:val="0"/>
        <w:spacing w:line="600" w:lineRule="exact"/>
        <w:ind w:firstLine="630" w:firstLineChars="210"/>
        <w:rPr>
          <w:rFonts w:hint="eastAsia"/>
          <w:bCs/>
          <w:szCs w:val="30"/>
        </w:rPr>
      </w:pPr>
      <w:r>
        <w:rPr>
          <w:rFonts w:hint="eastAsia"/>
          <w:bCs/>
          <w:szCs w:val="30"/>
        </w:rPr>
        <w:t>3.增加公益性岗位人员的聘用力度，全力改善中心业务人员紧缺的现状。</w:t>
      </w:r>
    </w:p>
    <w:p>
      <w:pPr>
        <w:pStyle w:val="BodyText"/>
        <w:adjustRightInd w:val="0"/>
        <w:snapToGrid w:val="0"/>
        <w:spacing w:line="600" w:lineRule="exact"/>
        <w:ind w:firstLine="630" w:firstLineChars="210"/>
        <w:rPr>
          <w:rFonts w:hint="eastAsia"/>
          <w:bCs/>
          <w:szCs w:val="30"/>
        </w:rPr>
      </w:pPr>
      <w:r>
        <w:rPr>
          <w:rFonts w:hint="eastAsia"/>
          <w:bCs/>
          <w:szCs w:val="30"/>
        </w:rPr>
        <w:t>4.全面完成住房公积金综合服务平台建设。</w:t>
      </w:r>
    </w:p>
    <w:p>
      <w:pPr>
        <w:pStyle w:val="BodyText"/>
        <w:adjustRightInd w:val="0"/>
        <w:snapToGrid w:val="0"/>
        <w:spacing w:line="600" w:lineRule="exact"/>
        <w:ind w:firstLine="630" w:firstLineChars="210"/>
        <w:rPr>
          <w:rFonts w:hint="eastAsia"/>
          <w:bCs/>
          <w:szCs w:val="30"/>
        </w:rPr>
      </w:pPr>
      <w:r>
        <w:rPr>
          <w:rFonts w:hint="eastAsia"/>
          <w:bCs/>
          <w:szCs w:val="30"/>
        </w:rPr>
        <w:t>5.落实信息科增设事宜，加强业务信息系统规范化管理，促进住房公积金信息化发展。</w:t>
      </w:r>
    </w:p>
    <w:p>
      <w:pPr>
        <w:pStyle w:val="BodyText"/>
        <w:adjustRightInd w:val="0"/>
        <w:snapToGrid w:val="0"/>
        <w:spacing w:line="600" w:lineRule="exact"/>
        <w:ind w:firstLine="630" w:firstLineChars="210"/>
        <w:rPr>
          <w:rFonts w:hint="eastAsia"/>
          <w:bCs/>
          <w:szCs w:val="30"/>
        </w:rPr>
      </w:pPr>
      <w:r>
        <w:rPr>
          <w:rFonts w:hint="eastAsia"/>
          <w:bCs/>
          <w:szCs w:val="30"/>
        </w:rPr>
        <w:t>6.加强中心支部建设，推进中心党建工作。</w:t>
      </w:r>
    </w:p>
    <w:p>
      <w:pPr>
        <w:spacing w:line="600" w:lineRule="exact"/>
        <w:ind w:firstLine="600" w:firstLineChars="200"/>
        <w:rPr>
          <w:rFonts w:ascii="黑体" w:eastAsia="黑体" w:hAnsi="黑体" w:hint="eastAsia"/>
          <w:sz w:val="30"/>
          <w:szCs w:val="30"/>
        </w:rPr>
      </w:pPr>
      <w:r>
        <w:rPr>
          <w:rFonts w:ascii="黑体" w:eastAsia="黑体" w:hAnsi="黑体" w:hint="eastAsia"/>
          <w:sz w:val="30"/>
          <w:szCs w:val="30"/>
        </w:rPr>
        <w:t>二、部门基本情况</w:t>
      </w:r>
    </w:p>
    <w:p>
      <w:pPr>
        <w:spacing w:line="600" w:lineRule="exact"/>
        <w:ind w:firstLine="600" w:firstLineChars="200"/>
        <w:rPr>
          <w:rFonts w:ascii="楷体" w:eastAsia="楷体" w:hAnsi="楷体" w:hint="eastAsia"/>
          <w:sz w:val="30"/>
          <w:szCs w:val="30"/>
        </w:rPr>
      </w:pPr>
      <w:r>
        <w:rPr>
          <w:rFonts w:ascii="楷体" w:eastAsia="楷体" w:hAnsi="楷体" w:hint="eastAsia"/>
          <w:sz w:val="30"/>
          <w:szCs w:val="30"/>
        </w:rPr>
        <w:t>（一）部门决算单位构成</w:t>
      </w:r>
    </w:p>
    <w:p>
      <w:pPr>
        <w:ind w:firstLine="600" w:firstLineChars="200"/>
        <w:rPr>
          <w:rFonts w:ascii="仿宋_GB2312" w:eastAsia="仿宋_GB2312" w:hint="eastAsia"/>
          <w:sz w:val="30"/>
          <w:szCs w:val="30"/>
        </w:rPr>
      </w:pPr>
      <w:r>
        <w:rPr>
          <w:rFonts w:ascii="仿宋_GB2312" w:eastAsia="仿宋_GB2312" w:hint="eastAsia"/>
          <w:sz w:val="30"/>
          <w:szCs w:val="30"/>
        </w:rPr>
        <w:t>迪庆州住房公积金管理中心是财政全额拨款副处级事业单位，没有其他二级预算单位，因此，纳入2018年部门决算编制范围的只有迪庆州住房公积金管理中心本级部门</w:t>
      </w:r>
    </w:p>
    <w:p>
      <w:pPr>
        <w:ind w:firstLine="600" w:firstLineChars="200"/>
        <w:rPr>
          <w:rFonts w:ascii="楷体" w:eastAsia="楷体" w:hAnsi="楷体" w:hint="eastAsia"/>
          <w:sz w:val="30"/>
          <w:szCs w:val="30"/>
        </w:rPr>
      </w:pPr>
      <w:r>
        <w:rPr>
          <w:rFonts w:ascii="楷体" w:eastAsia="楷体" w:hAnsi="楷体" w:hint="eastAsia"/>
          <w:sz w:val="30"/>
          <w:szCs w:val="30"/>
        </w:rPr>
        <w:t xml:space="preserve">（二）部门人员和车辆的编制及实有情况 </w:t>
      </w:r>
    </w:p>
    <w:p>
      <w:pPr>
        <w:spacing w:line="600" w:lineRule="exact"/>
        <w:ind w:firstLine="600" w:firstLineChars="200"/>
        <w:rPr>
          <w:rFonts w:ascii="仿宋_GB2312" w:eastAsia="仿宋_GB2312" w:hAnsi="宋体" w:cs="Arial" w:hint="eastAsia"/>
          <w:kern w:val="0"/>
          <w:sz w:val="30"/>
          <w:szCs w:val="30"/>
        </w:rPr>
      </w:pPr>
      <w:r>
        <w:rPr>
          <w:rFonts w:ascii="仿宋_GB2312" w:eastAsia="仿宋_GB2312" w:hint="eastAsia"/>
          <w:sz w:val="30"/>
          <w:szCs w:val="30"/>
          <w:lang w:eastAsia="zh-CN"/>
        </w:rPr>
        <w:t>迪庆州住房公积金管理中心</w:t>
      </w:r>
      <w:r>
        <w:rPr>
          <w:rFonts w:ascii="仿宋_GB2312" w:eastAsia="仿宋_GB2312" w:hint="eastAsia"/>
          <w:sz w:val="30"/>
          <w:szCs w:val="30"/>
        </w:rPr>
        <w:t>年末实有人员编制</w:t>
      </w:r>
      <w:r>
        <w:rPr>
          <w:rFonts w:ascii="仿宋_GB2312" w:eastAsia="仿宋_GB2312" w:hint="eastAsia"/>
          <w:sz w:val="30"/>
          <w:szCs w:val="30"/>
          <w:lang w:val="en-US" w:eastAsia="zh-CN"/>
        </w:rPr>
        <w:t>25</w:t>
      </w:r>
      <w:r>
        <w:rPr>
          <w:rFonts w:ascii="仿宋_GB2312" w:eastAsia="仿宋_GB2312" w:hAnsi="宋体" w:cs="Arial" w:hint="eastAsia"/>
          <w:kern w:val="0"/>
          <w:sz w:val="30"/>
          <w:szCs w:val="30"/>
        </w:rPr>
        <w:t>人。其中：事业编制</w:t>
      </w:r>
      <w:r>
        <w:rPr>
          <w:rFonts w:ascii="仿宋_GB2312" w:eastAsia="仿宋_GB2312" w:hint="eastAsia"/>
          <w:sz w:val="30"/>
          <w:szCs w:val="30"/>
          <w:lang w:val="en-US" w:eastAsia="zh-CN"/>
        </w:rPr>
        <w:t>17</w:t>
      </w:r>
      <w:r>
        <w:rPr>
          <w:rFonts w:ascii="仿宋_GB2312" w:eastAsia="仿宋_GB2312" w:hAnsi="宋体" w:cs="Arial" w:hint="eastAsia"/>
          <w:kern w:val="0"/>
          <w:sz w:val="30"/>
          <w:szCs w:val="30"/>
        </w:rPr>
        <w:t>人；</w:t>
      </w:r>
      <w:r>
        <w:rPr>
          <w:rFonts w:ascii="仿宋_GB2312" w:eastAsia="仿宋_GB2312" w:hAnsi="宋体" w:cs="Arial" w:hint="eastAsia"/>
          <w:kern w:val="0"/>
          <w:sz w:val="30"/>
          <w:szCs w:val="30"/>
          <w:lang w:eastAsia="zh-CN"/>
        </w:rPr>
        <w:t>工勤编制</w:t>
      </w:r>
      <w:r>
        <w:rPr>
          <w:rFonts w:ascii="仿宋_GB2312" w:eastAsia="仿宋_GB2312" w:hAnsi="宋体" w:cs="Arial" w:hint="eastAsia"/>
          <w:kern w:val="0"/>
          <w:sz w:val="30"/>
          <w:szCs w:val="30"/>
          <w:lang w:val="en-US" w:eastAsia="zh-CN"/>
        </w:rPr>
        <w:t>8人。</w:t>
      </w:r>
      <w:r>
        <w:rPr>
          <w:rFonts w:ascii="仿宋_GB2312" w:eastAsia="仿宋_GB2312" w:hAnsi="宋体" w:cs="Arial" w:hint="eastAsia"/>
          <w:kern w:val="0"/>
          <w:sz w:val="30"/>
          <w:szCs w:val="30"/>
        </w:rPr>
        <w:t>在职在编实有</w:t>
      </w:r>
      <w:r>
        <w:rPr>
          <w:rFonts w:ascii="仿宋_GB2312" w:eastAsia="仿宋_GB2312" w:hAnsi="宋体" w:cs="Arial" w:hint="eastAsia"/>
          <w:kern w:val="0"/>
          <w:sz w:val="30"/>
          <w:szCs w:val="30"/>
          <w:lang w:val="en-US" w:eastAsia="zh-CN"/>
        </w:rPr>
        <w:t>24人</w:t>
      </w:r>
      <w:r>
        <w:rPr>
          <w:rFonts w:ascii="仿宋_GB2312" w:eastAsia="仿宋_GB2312" w:hAnsi="宋体" w:cs="Arial" w:hint="eastAsia"/>
          <w:kern w:val="0"/>
          <w:sz w:val="30"/>
          <w:szCs w:val="30"/>
        </w:rPr>
        <w:t>。</w:t>
      </w:r>
    </w:p>
    <w:p>
      <w:pPr>
        <w:spacing w:line="600" w:lineRule="exact"/>
        <w:ind w:firstLine="600" w:firstLineChars="200"/>
        <w:rPr>
          <w:rFonts w:ascii="仿宋_GB2312" w:eastAsia="仿宋_GB2312" w:hAnsi="宋体" w:cs="Arial" w:hint="eastAsia"/>
          <w:kern w:val="0"/>
          <w:sz w:val="30"/>
          <w:szCs w:val="30"/>
        </w:rPr>
      </w:pPr>
      <w:r>
        <w:rPr>
          <w:rFonts w:ascii="仿宋_GB2312" w:eastAsia="仿宋_GB2312" w:hAnsi="宋体" w:cs="Arial" w:hint="eastAsia"/>
          <w:kern w:val="0"/>
          <w:sz w:val="30"/>
          <w:szCs w:val="30"/>
        </w:rPr>
        <w:t>离退休人员</w:t>
      </w:r>
      <w:r>
        <w:rPr>
          <w:rFonts w:ascii="仿宋_GB2312" w:eastAsia="仿宋_GB2312" w:hint="eastAsia"/>
          <w:sz w:val="30"/>
          <w:szCs w:val="30"/>
          <w:lang w:val="en-US" w:eastAsia="zh-CN"/>
        </w:rPr>
        <w:t>6</w:t>
      </w:r>
      <w:r>
        <w:rPr>
          <w:rFonts w:ascii="仿宋_GB2312" w:eastAsia="仿宋_GB2312" w:hAnsi="宋体" w:cs="Arial" w:hint="eastAsia"/>
          <w:kern w:val="0"/>
          <w:sz w:val="30"/>
          <w:szCs w:val="30"/>
        </w:rPr>
        <w:t>人。其中：离休</w:t>
      </w:r>
      <w:r>
        <w:rPr>
          <w:rFonts w:ascii="仿宋_GB2312" w:eastAsia="仿宋_GB2312" w:hint="eastAsia"/>
          <w:sz w:val="30"/>
          <w:szCs w:val="30"/>
          <w:lang w:val="en-US" w:eastAsia="zh-CN"/>
        </w:rPr>
        <w:t>4</w:t>
      </w:r>
      <w:r>
        <w:rPr>
          <w:rFonts w:ascii="仿宋_GB2312" w:eastAsia="仿宋_GB2312" w:hAnsi="宋体" w:cs="Arial" w:hint="eastAsia"/>
          <w:kern w:val="0"/>
          <w:sz w:val="30"/>
          <w:szCs w:val="30"/>
        </w:rPr>
        <w:t>人，退休</w:t>
      </w:r>
      <w:r>
        <w:rPr>
          <w:rFonts w:ascii="仿宋_GB2312" w:eastAsia="仿宋_GB2312" w:hint="eastAsia"/>
          <w:sz w:val="30"/>
          <w:szCs w:val="30"/>
          <w:lang w:val="en-US" w:eastAsia="zh-CN"/>
        </w:rPr>
        <w:t>2</w:t>
      </w:r>
      <w:r>
        <w:rPr>
          <w:rFonts w:ascii="仿宋_GB2312" w:eastAsia="仿宋_GB2312" w:hAnsi="宋体" w:cs="Arial" w:hint="eastAsia"/>
          <w:kern w:val="0"/>
          <w:sz w:val="30"/>
          <w:szCs w:val="30"/>
        </w:rPr>
        <w:t>人。</w:t>
      </w:r>
    </w:p>
    <w:p>
      <w:pPr>
        <w:spacing w:line="600" w:lineRule="exact"/>
        <w:ind w:firstLine="600" w:firstLineChars="200"/>
        <w:rPr>
          <w:rFonts w:ascii="仿宋_GB2312" w:eastAsia="仿宋_GB2312" w:hAnsi="宋体" w:cs="Arial" w:hint="eastAsia"/>
          <w:kern w:val="0"/>
          <w:sz w:val="30"/>
          <w:szCs w:val="30"/>
        </w:rPr>
      </w:pPr>
      <w:r>
        <w:rPr>
          <w:rFonts w:ascii="仿宋_GB2312" w:eastAsia="仿宋_GB2312" w:hAnsi="宋体" w:cs="Arial" w:hint="eastAsia"/>
          <w:kern w:val="0"/>
          <w:sz w:val="30"/>
          <w:szCs w:val="30"/>
        </w:rPr>
        <w:t>实有车辆编制</w:t>
      </w:r>
      <w:r>
        <w:rPr>
          <w:rFonts w:ascii="仿宋_GB2312" w:eastAsia="仿宋_GB2312" w:hint="eastAsia"/>
          <w:sz w:val="30"/>
          <w:szCs w:val="30"/>
          <w:lang w:val="en-US" w:eastAsia="zh-CN"/>
        </w:rPr>
        <w:t>4</w:t>
      </w:r>
      <w:r>
        <w:rPr>
          <w:rFonts w:ascii="仿宋_GB2312" w:eastAsia="仿宋_GB2312" w:hAnsi="宋体" w:cs="Arial" w:hint="eastAsia"/>
          <w:kern w:val="0"/>
          <w:sz w:val="30"/>
          <w:szCs w:val="30"/>
        </w:rPr>
        <w:t>辆，在编实有车辆</w:t>
      </w:r>
      <w:r>
        <w:rPr>
          <w:rFonts w:ascii="仿宋_GB2312" w:eastAsia="仿宋_GB2312" w:hint="eastAsia"/>
          <w:sz w:val="30"/>
          <w:szCs w:val="30"/>
          <w:lang w:val="en-US" w:eastAsia="zh-CN"/>
        </w:rPr>
        <w:t>4</w:t>
      </w:r>
      <w:r>
        <w:rPr>
          <w:rFonts w:ascii="仿宋_GB2312" w:eastAsia="仿宋_GB2312" w:hAnsi="宋体" w:cs="Arial" w:hint="eastAsia"/>
          <w:kern w:val="0"/>
          <w:sz w:val="30"/>
          <w:szCs w:val="30"/>
        </w:rPr>
        <w:t>辆。</w:t>
      </w:r>
    </w:p>
    <w:p>
      <w:pPr>
        <w:jc w:val="center"/>
        <w:rPr>
          <w:rFonts w:ascii="黑体" w:eastAsia="黑体" w:hAnsi="黑体" w:hint="eastAsia"/>
          <w:sz w:val="32"/>
          <w:szCs w:val="32"/>
        </w:rPr>
      </w:pPr>
      <w:r>
        <w:rPr>
          <w:rFonts w:ascii="黑体" w:eastAsia="黑体" w:hAnsi="黑体" w:hint="eastAsia"/>
          <w:sz w:val="32"/>
          <w:szCs w:val="32"/>
        </w:rPr>
        <w:t xml:space="preserve">第二部分  </w:t>
      </w:r>
      <w:r>
        <w:rPr>
          <w:rFonts w:ascii="黑体" w:eastAsia="黑体" w:hAnsi="黑体" w:hint="eastAsia"/>
          <w:sz w:val="32"/>
          <w:szCs w:val="32"/>
          <w:lang w:val="en-US" w:eastAsia="zh-CN"/>
        </w:rPr>
        <w:t>2018</w:t>
      </w:r>
      <w:r>
        <w:rPr>
          <w:rFonts w:ascii="黑体" w:eastAsia="黑体" w:hAnsi="黑体" w:hint="eastAsia"/>
          <w:sz w:val="32"/>
          <w:szCs w:val="32"/>
        </w:rPr>
        <w:t>年度部门决算表</w:t>
      </w:r>
    </w:p>
    <w:p>
      <w:pPr>
        <w:spacing w:line="600" w:lineRule="exact"/>
        <w:ind w:firstLine="600" w:firstLineChars="200"/>
        <w:jc w:val="center"/>
        <w:rPr>
          <w:rFonts w:ascii="仿宋_GB2312" w:eastAsia="仿宋_GB2312" w:hint="eastAsia"/>
          <w:sz w:val="30"/>
          <w:szCs w:val="30"/>
        </w:rPr>
      </w:pPr>
      <w:r>
        <w:rPr>
          <w:rFonts w:ascii="仿宋_GB2312" w:eastAsia="仿宋_GB2312" w:hint="eastAsia"/>
          <w:sz w:val="30"/>
          <w:szCs w:val="30"/>
        </w:rPr>
        <w:t>详见附件：迪庆州</w:t>
      </w:r>
      <w:r>
        <w:rPr>
          <w:rFonts w:ascii="仿宋_GB2312" w:eastAsia="仿宋_GB2312" w:hint="eastAsia"/>
          <w:sz w:val="30"/>
          <w:szCs w:val="30"/>
          <w:lang w:eastAsia="zh-CN"/>
        </w:rPr>
        <w:t>住房公积金管理中心</w:t>
      </w:r>
      <w:r>
        <w:rPr>
          <w:rFonts w:ascii="仿宋_GB2312" w:eastAsia="仿宋_GB2312" w:hint="eastAsia"/>
          <w:sz w:val="30"/>
          <w:szCs w:val="30"/>
        </w:rPr>
        <w:t>2018年部门决算信息公开表（</w:t>
      </w:r>
      <w:r>
        <w:rPr>
          <w:rFonts w:ascii="仿宋_GB2312" w:eastAsia="仿宋_GB2312" w:hint="eastAsia"/>
          <w:sz w:val="30"/>
          <w:szCs w:val="30"/>
          <w:lang w:val="en-US" w:eastAsia="zh-CN"/>
        </w:rPr>
        <w:t>0</w:t>
      </w:r>
      <w:r>
        <w:rPr>
          <w:rFonts w:ascii="仿宋_GB2312" w:eastAsia="仿宋_GB2312" w:hint="eastAsia"/>
          <w:sz w:val="30"/>
          <w:szCs w:val="30"/>
        </w:rPr>
        <w:t>1-</w:t>
      </w:r>
      <w:r>
        <w:rPr>
          <w:rFonts w:ascii="仿宋_GB2312" w:eastAsia="仿宋_GB2312" w:hint="eastAsia"/>
          <w:sz w:val="30"/>
          <w:szCs w:val="30"/>
          <w:lang w:val="en-US" w:eastAsia="zh-CN"/>
        </w:rPr>
        <w:t>09</w:t>
      </w:r>
      <w:r>
        <w:rPr>
          <w:rFonts w:ascii="仿宋_GB2312" w:eastAsia="仿宋_GB2312" w:hint="eastAsia"/>
          <w:sz w:val="30"/>
          <w:szCs w:val="30"/>
        </w:rPr>
        <w:t>表）</w:t>
      </w:r>
    </w:p>
    <w:p>
      <w:pPr>
        <w:jc w:val="center"/>
        <w:rPr>
          <w:rFonts w:ascii="黑体" w:eastAsia="黑体" w:hAnsi="黑体" w:hint="eastAsia"/>
          <w:sz w:val="32"/>
          <w:szCs w:val="32"/>
        </w:rPr>
      </w:pPr>
      <w:r>
        <w:rPr>
          <w:rFonts w:ascii="黑体" w:eastAsia="黑体" w:hAnsi="黑体" w:hint="eastAsia"/>
          <w:sz w:val="32"/>
          <w:szCs w:val="32"/>
        </w:rPr>
        <w:t>第三部</w:t>
      </w:r>
      <w:r>
        <w:rPr>
          <w:rFonts w:ascii="黑体" w:eastAsia="黑体" w:hAnsi="黑体" w:hint="eastAsia"/>
          <w:sz w:val="32"/>
          <w:szCs w:val="32"/>
          <w:lang w:eastAsia="zh-CN"/>
        </w:rPr>
        <w:t>分</w:t>
      </w:r>
      <w:r>
        <w:rPr>
          <w:rFonts w:ascii="黑体" w:eastAsia="黑体" w:hAnsi="黑体" w:hint="eastAsia"/>
          <w:sz w:val="32"/>
          <w:szCs w:val="32"/>
        </w:rPr>
        <w:t xml:space="preserve">  </w:t>
      </w:r>
      <w:r>
        <w:rPr>
          <w:rFonts w:ascii="黑体" w:eastAsia="黑体" w:hAnsi="黑体" w:hint="eastAsia"/>
          <w:sz w:val="32"/>
          <w:szCs w:val="32"/>
          <w:lang w:val="en-US" w:eastAsia="zh-CN"/>
        </w:rPr>
        <w:t>2018</w:t>
      </w:r>
      <w:r>
        <w:rPr>
          <w:rFonts w:ascii="黑体" w:eastAsia="黑体" w:hAnsi="黑体" w:hint="eastAsia"/>
          <w:sz w:val="32"/>
          <w:szCs w:val="32"/>
        </w:rPr>
        <w:t>年度部门决算情况说明</w:t>
      </w:r>
    </w:p>
    <w:p>
      <w:pPr>
        <w:ind w:firstLine="600" w:firstLineChars="200"/>
        <w:jc w:val="left"/>
        <w:rPr>
          <w:rFonts w:ascii="黑体" w:eastAsia="黑体" w:hAnsi="黑体" w:hint="eastAsia"/>
          <w:sz w:val="30"/>
          <w:szCs w:val="30"/>
        </w:rPr>
      </w:pPr>
      <w:r>
        <w:rPr>
          <w:rFonts w:ascii="黑体" w:eastAsia="黑体" w:hAnsi="黑体" w:hint="eastAsia"/>
          <w:sz w:val="30"/>
          <w:szCs w:val="30"/>
        </w:rPr>
        <w:t>一、收入决算情况说明</w:t>
      </w:r>
    </w:p>
    <w:p>
      <w:pPr>
        <w:widowControl/>
        <w:snapToGrid w:val="0"/>
        <w:spacing w:before="100" w:after="100" w:line="600" w:lineRule="exact"/>
        <w:ind w:firstLine="538"/>
        <w:jc w:val="left"/>
        <w:rPr>
          <w:rFonts w:ascii="仿宋_GB2312" w:eastAsia="仿宋_GB2312" w:hint="eastAsia"/>
          <w:sz w:val="30"/>
          <w:szCs w:val="30"/>
          <w:lang w:eastAsia="zh-CN"/>
        </w:rPr>
      </w:pPr>
      <w:r>
        <w:rPr>
          <w:rFonts w:ascii="仿宋_GB2312" w:eastAsia="仿宋_GB2312" w:hint="eastAsia"/>
          <w:sz w:val="30"/>
          <w:szCs w:val="30"/>
          <w:lang w:eastAsia="zh-CN"/>
        </w:rPr>
        <w:t>迪庆州住房公积金管理中心2018年度收入合计为1,348.29万元元，其中：财政拨款收入为1,339.60元，占总收入的99%；其他收入为8.69元，占总收入的1%。</w:t>
      </w:r>
      <w:r>
        <w:rPr>
          <w:rFonts w:ascii="仿宋_GB2312" w:eastAsia="仿宋_GB2312" w:hint="eastAsia"/>
          <w:sz w:val="30"/>
          <w:szCs w:val="30"/>
        </w:rPr>
        <w:t>与上年对比</w:t>
      </w:r>
      <w:r>
        <w:rPr>
          <w:rFonts w:ascii="仿宋_GB2312" w:eastAsia="仿宋_GB2312" w:hint="eastAsia"/>
          <w:sz w:val="30"/>
          <w:szCs w:val="30"/>
          <w:lang w:eastAsia="zh-CN"/>
        </w:rPr>
        <w:t>财政拨款收入增加</w:t>
      </w:r>
      <w:r>
        <w:rPr>
          <w:rFonts w:ascii="仿宋_GB2312" w:eastAsia="仿宋_GB2312" w:hint="eastAsia"/>
          <w:sz w:val="30"/>
          <w:szCs w:val="30"/>
          <w:lang w:val="en-US" w:eastAsia="zh-CN"/>
        </w:rPr>
        <w:t>67.16万元</w:t>
      </w:r>
      <w:r>
        <w:rPr>
          <w:rFonts w:ascii="仿宋_GB2312" w:eastAsia="仿宋_GB2312" w:hint="eastAsia"/>
          <w:sz w:val="30"/>
          <w:szCs w:val="30"/>
        </w:rPr>
        <w:t>，</w:t>
      </w:r>
      <w:r>
        <w:rPr>
          <w:rFonts w:ascii="仿宋_GB2312" w:eastAsia="仿宋_GB2312" w:hint="eastAsia"/>
          <w:sz w:val="30"/>
          <w:szCs w:val="30"/>
          <w:lang w:eastAsia="zh-CN"/>
        </w:rPr>
        <w:t>增加</w:t>
      </w:r>
      <w:r>
        <w:rPr>
          <w:rFonts w:ascii="仿宋_GB2312" w:eastAsia="仿宋_GB2312" w:hint="eastAsia"/>
          <w:sz w:val="30"/>
          <w:szCs w:val="30"/>
        </w:rPr>
        <w:t>主要原因</w:t>
      </w:r>
      <w:r>
        <w:rPr>
          <w:rFonts w:ascii="仿宋_GB2312" w:eastAsia="仿宋_GB2312" w:hint="eastAsia"/>
          <w:sz w:val="30"/>
          <w:szCs w:val="30"/>
          <w:lang w:eastAsia="zh-CN"/>
        </w:rPr>
        <w:t>是职工工资福利和社会保险、住房公积金增加</w:t>
      </w:r>
      <w:r>
        <w:rPr>
          <w:rFonts w:ascii="仿宋_GB2312" w:eastAsia="仿宋_GB2312" w:hint="eastAsia"/>
          <w:sz w:val="30"/>
          <w:szCs w:val="30"/>
        </w:rPr>
        <w:t>。与上年对比</w:t>
      </w:r>
      <w:r>
        <w:rPr>
          <w:rFonts w:ascii="仿宋_GB2312" w:eastAsia="仿宋_GB2312" w:hint="eastAsia"/>
          <w:sz w:val="30"/>
          <w:szCs w:val="30"/>
          <w:lang w:eastAsia="zh-CN"/>
        </w:rPr>
        <w:t>其他</w:t>
      </w:r>
      <w:r>
        <w:rPr>
          <w:rFonts w:ascii="仿宋_GB2312" w:eastAsia="仿宋_GB2312" w:hint="eastAsia"/>
          <w:sz w:val="30"/>
          <w:szCs w:val="30"/>
        </w:rPr>
        <w:t>收入</w:t>
      </w:r>
      <w:r>
        <w:rPr>
          <w:rFonts w:ascii="仿宋_GB2312" w:eastAsia="仿宋_GB2312" w:hint="eastAsia"/>
          <w:sz w:val="30"/>
          <w:szCs w:val="30"/>
          <w:lang w:eastAsia="zh-CN"/>
        </w:rPr>
        <w:t>减少</w:t>
      </w:r>
      <w:r>
        <w:rPr>
          <w:rFonts w:ascii="仿宋_GB2312" w:eastAsia="仿宋_GB2312" w:hint="eastAsia"/>
          <w:sz w:val="30"/>
          <w:szCs w:val="30"/>
          <w:lang w:val="en-US" w:eastAsia="zh-CN"/>
        </w:rPr>
        <w:t>13.27</w:t>
      </w:r>
      <w:r>
        <w:rPr>
          <w:rFonts w:ascii="仿宋_GB2312" w:eastAsia="仿宋_GB2312" w:hint="eastAsia"/>
          <w:sz w:val="30"/>
          <w:szCs w:val="30"/>
        </w:rPr>
        <w:t>万元，</w:t>
      </w:r>
      <w:r>
        <w:rPr>
          <w:rFonts w:ascii="仿宋_GB2312" w:eastAsia="仿宋_GB2312" w:hint="eastAsia"/>
          <w:sz w:val="30"/>
          <w:szCs w:val="30"/>
          <w:lang w:eastAsia="zh-CN"/>
        </w:rPr>
        <w:t>减少</w:t>
      </w:r>
      <w:r>
        <w:rPr>
          <w:rFonts w:ascii="仿宋_GB2312" w:eastAsia="仿宋_GB2312" w:hint="eastAsia"/>
          <w:sz w:val="30"/>
          <w:szCs w:val="30"/>
        </w:rPr>
        <w:t>主要原因是</w:t>
      </w:r>
      <w:r>
        <w:rPr>
          <w:rFonts w:ascii="仿宋_GB2312" w:eastAsia="仿宋_GB2312" w:hint="eastAsia"/>
          <w:sz w:val="30"/>
          <w:szCs w:val="30"/>
          <w:lang w:eastAsia="zh-CN"/>
        </w:rPr>
        <w:t>其他收入来源为迪庆州劳动就业服务局拨给我中心编外人员公益性岗位补贴（每人</w:t>
      </w:r>
      <w:r>
        <w:rPr>
          <w:rFonts w:ascii="仿宋_GB2312" w:eastAsia="仿宋_GB2312" w:hint="eastAsia"/>
          <w:sz w:val="30"/>
          <w:szCs w:val="30"/>
          <w:lang w:val="en-US" w:eastAsia="zh-CN"/>
        </w:rPr>
        <w:t>3年，期限满不再补助</w:t>
      </w:r>
      <w:r>
        <w:rPr>
          <w:rFonts w:ascii="仿宋_GB2312" w:eastAsia="仿宋_GB2312" w:hint="eastAsia"/>
          <w:sz w:val="30"/>
          <w:szCs w:val="30"/>
          <w:lang w:eastAsia="zh-CN"/>
        </w:rPr>
        <w:t>），因为公益性岗位补贴减少，使用其他收入也减少</w:t>
      </w:r>
      <w:r>
        <w:rPr>
          <w:rFonts w:ascii="仿宋_GB2312" w:eastAsia="仿宋_GB2312" w:hint="eastAsia"/>
          <w:sz w:val="30"/>
          <w:szCs w:val="30"/>
        </w:rPr>
        <w:t>。</w:t>
      </w:r>
    </w:p>
    <w:p>
      <w:pPr>
        <w:ind w:firstLine="600" w:firstLineChars="200"/>
        <w:jc w:val="left"/>
        <w:rPr>
          <w:rFonts w:ascii="黑体" w:eastAsia="黑体" w:hAnsi="黑体" w:hint="eastAsia"/>
          <w:sz w:val="30"/>
          <w:szCs w:val="30"/>
        </w:rPr>
      </w:pPr>
      <w:r>
        <w:rPr>
          <w:rFonts w:ascii="黑体" w:eastAsia="黑体" w:hAnsi="黑体" w:hint="eastAsia"/>
          <w:sz w:val="30"/>
          <w:szCs w:val="30"/>
        </w:rPr>
        <w:t>二、支出决算情况说明</w:t>
      </w:r>
    </w:p>
    <w:p>
      <w:pPr>
        <w:spacing w:line="600" w:lineRule="exact"/>
        <w:ind w:firstLine="600" w:firstLineChars="200"/>
        <w:rPr>
          <w:rFonts w:ascii="仿宋_GB2312" w:eastAsia="仿宋_GB2312" w:hAnsi="宋体" w:cs="Arial" w:hint="eastAsia"/>
          <w:kern w:val="0"/>
          <w:sz w:val="30"/>
          <w:szCs w:val="30"/>
          <w:lang w:eastAsia="zh-CN"/>
        </w:rPr>
      </w:pPr>
      <w:r>
        <w:rPr>
          <w:rFonts w:ascii="仿宋_GB2312" w:eastAsia="仿宋_GB2312" w:hint="eastAsia"/>
          <w:sz w:val="30"/>
          <w:szCs w:val="30"/>
          <w:lang w:eastAsia="zh-CN"/>
        </w:rPr>
        <w:t>迪庆州住房公积金管理中心</w:t>
      </w:r>
      <w:r>
        <w:rPr>
          <w:rFonts w:ascii="仿宋_GB2312" w:eastAsia="仿宋_GB2312" w:hint="eastAsia"/>
          <w:sz w:val="30"/>
          <w:szCs w:val="30"/>
          <w:lang w:val="en-US" w:eastAsia="zh-CN"/>
        </w:rPr>
        <w:t>2018</w:t>
      </w:r>
      <w:r>
        <w:rPr>
          <w:rFonts w:ascii="仿宋_GB2312" w:eastAsia="仿宋_GB2312" w:hint="eastAsia"/>
          <w:sz w:val="30"/>
          <w:szCs w:val="30"/>
        </w:rPr>
        <w:t>年度支出合计</w:t>
      </w:r>
      <w:r>
        <w:rPr>
          <w:rFonts w:ascii="仿宋_GB2312" w:eastAsia="仿宋_GB2312" w:hint="eastAsia"/>
          <w:sz w:val="30"/>
          <w:szCs w:val="30"/>
          <w:lang w:val="en-US" w:eastAsia="zh-CN"/>
        </w:rPr>
        <w:t>1209.91</w:t>
      </w:r>
      <w:r>
        <w:rPr>
          <w:rFonts w:ascii="仿宋_GB2312" w:eastAsia="仿宋_GB2312" w:hint="eastAsia"/>
          <w:sz w:val="30"/>
          <w:szCs w:val="30"/>
        </w:rPr>
        <w:t>万元。其中：</w:t>
      </w:r>
      <w:r>
        <w:rPr>
          <w:rFonts w:ascii="仿宋_GB2312" w:eastAsia="仿宋_GB2312" w:hAnsi="宋体" w:cs="Arial" w:hint="eastAsia"/>
          <w:kern w:val="0"/>
          <w:sz w:val="30"/>
          <w:szCs w:val="30"/>
        </w:rPr>
        <w:t>基本支出</w:t>
      </w:r>
      <w:r>
        <w:rPr>
          <w:rFonts w:ascii="仿宋_GB2312" w:eastAsia="仿宋_GB2312" w:hint="eastAsia"/>
          <w:sz w:val="30"/>
          <w:szCs w:val="30"/>
        </w:rPr>
        <w:t>68</w:t>
      </w:r>
      <w:r>
        <w:rPr>
          <w:rFonts w:ascii="仿宋_GB2312" w:eastAsia="仿宋_GB2312" w:hint="eastAsia"/>
          <w:sz w:val="30"/>
          <w:szCs w:val="30"/>
          <w:lang w:val="en-US" w:eastAsia="zh-CN"/>
        </w:rPr>
        <w:t>8</w:t>
      </w:r>
      <w:r>
        <w:rPr>
          <w:rFonts w:ascii="仿宋_GB2312" w:eastAsia="仿宋_GB2312" w:hint="eastAsia"/>
          <w:sz w:val="30"/>
          <w:szCs w:val="30"/>
        </w:rPr>
        <w:t>.</w:t>
      </w:r>
      <w:r>
        <w:rPr>
          <w:rFonts w:ascii="仿宋_GB2312" w:eastAsia="仿宋_GB2312" w:hint="eastAsia"/>
          <w:sz w:val="30"/>
          <w:szCs w:val="30"/>
          <w:lang w:val="en-US" w:eastAsia="zh-CN"/>
        </w:rPr>
        <w:t>01</w:t>
      </w:r>
      <w:r>
        <w:rPr>
          <w:rFonts w:ascii="仿宋_GB2312" w:eastAsia="仿宋_GB2312" w:hAnsi="宋体" w:cs="Arial" w:hint="eastAsia"/>
          <w:kern w:val="0"/>
          <w:sz w:val="30"/>
          <w:szCs w:val="30"/>
        </w:rPr>
        <w:t>万元，占总支出的</w:t>
      </w:r>
      <w:r>
        <w:rPr>
          <w:rFonts w:ascii="仿宋_GB2312" w:eastAsia="仿宋_GB2312" w:hint="eastAsia"/>
          <w:sz w:val="30"/>
          <w:szCs w:val="30"/>
          <w:lang w:val="en-US" w:eastAsia="zh-CN"/>
        </w:rPr>
        <w:t>57</w:t>
      </w:r>
      <w:r>
        <w:rPr>
          <w:rFonts w:ascii="仿宋_GB2312" w:eastAsia="仿宋_GB2312" w:hAnsi="宋体" w:cs="Arial" w:hint="eastAsia"/>
          <w:kern w:val="0"/>
          <w:sz w:val="30"/>
          <w:szCs w:val="30"/>
        </w:rPr>
        <w:t>％；项目支出</w:t>
      </w:r>
      <w:r>
        <w:rPr>
          <w:rFonts w:ascii="仿宋_GB2312" w:eastAsia="仿宋_GB2312" w:hint="eastAsia"/>
          <w:sz w:val="30"/>
          <w:szCs w:val="30"/>
          <w:lang w:val="en-US" w:eastAsia="zh-CN"/>
        </w:rPr>
        <w:t>521.90</w:t>
      </w:r>
      <w:r>
        <w:rPr>
          <w:rFonts w:ascii="仿宋_GB2312" w:eastAsia="仿宋_GB2312" w:hAnsi="宋体" w:cs="Arial" w:hint="eastAsia"/>
          <w:kern w:val="0"/>
          <w:sz w:val="30"/>
          <w:szCs w:val="30"/>
        </w:rPr>
        <w:t>万元，占总支出的</w:t>
      </w:r>
      <w:r>
        <w:rPr>
          <w:rFonts w:ascii="仿宋_GB2312" w:eastAsia="仿宋_GB2312" w:hint="eastAsia"/>
          <w:sz w:val="30"/>
          <w:szCs w:val="30"/>
          <w:lang w:val="en-US" w:eastAsia="zh-CN"/>
        </w:rPr>
        <w:t>43</w:t>
      </w:r>
      <w:r>
        <w:rPr>
          <w:rFonts w:ascii="仿宋_GB2312" w:eastAsia="仿宋_GB2312" w:hAnsi="宋体" w:cs="Arial" w:hint="eastAsia"/>
          <w:kern w:val="0"/>
          <w:sz w:val="30"/>
          <w:szCs w:val="30"/>
        </w:rPr>
        <w:t>％。</w:t>
      </w:r>
      <w:r>
        <w:rPr>
          <w:rFonts w:ascii="仿宋_GB2312" w:eastAsia="仿宋_GB2312" w:hint="eastAsia"/>
          <w:sz w:val="30"/>
          <w:szCs w:val="30"/>
        </w:rPr>
        <w:t>与上年对比</w:t>
      </w:r>
      <w:r>
        <w:rPr>
          <w:rFonts w:ascii="仿宋_GB2312" w:eastAsia="仿宋_GB2312" w:hint="eastAsia"/>
          <w:sz w:val="30"/>
          <w:szCs w:val="30"/>
          <w:lang w:eastAsia="zh-CN"/>
        </w:rPr>
        <w:t>基本支出增加</w:t>
      </w:r>
      <w:r>
        <w:rPr>
          <w:rFonts w:ascii="仿宋_GB2312" w:eastAsia="仿宋_GB2312" w:hint="eastAsia"/>
          <w:sz w:val="30"/>
          <w:szCs w:val="30"/>
          <w:lang w:val="en-US" w:eastAsia="zh-CN"/>
        </w:rPr>
        <w:t>77.74万元</w:t>
      </w:r>
      <w:r>
        <w:rPr>
          <w:rFonts w:ascii="仿宋_GB2312" w:eastAsia="仿宋_GB2312" w:hint="eastAsia"/>
          <w:sz w:val="30"/>
          <w:szCs w:val="30"/>
        </w:rPr>
        <w:t>,</w:t>
      </w:r>
      <w:r>
        <w:rPr>
          <w:rFonts w:ascii="仿宋_GB2312" w:eastAsia="仿宋_GB2312" w:hint="eastAsia"/>
          <w:sz w:val="30"/>
          <w:szCs w:val="30"/>
          <w:lang w:eastAsia="zh-CN"/>
        </w:rPr>
        <w:t>增加主要原因是职工工资福利和社会保险、住房公积金增加。与上年对比项目支出减少</w:t>
      </w:r>
      <w:r>
        <w:rPr>
          <w:rFonts w:ascii="仿宋_GB2312" w:eastAsia="仿宋_GB2312" w:hint="eastAsia"/>
          <w:sz w:val="30"/>
          <w:szCs w:val="30"/>
          <w:lang w:val="en-US" w:eastAsia="zh-CN"/>
        </w:rPr>
        <w:t>11</w:t>
      </w:r>
      <w:r>
        <w:rPr>
          <w:rFonts w:ascii="仿宋_GB2312" w:eastAsia="仿宋_GB2312" w:hint="eastAsia"/>
          <w:sz w:val="30"/>
          <w:szCs w:val="30"/>
          <w:lang w:eastAsia="zh-CN"/>
        </w:rPr>
        <w:t>.7</w:t>
      </w:r>
      <w:r>
        <w:rPr>
          <w:rFonts w:ascii="仿宋_GB2312" w:eastAsia="仿宋_GB2312" w:hint="eastAsia"/>
          <w:sz w:val="30"/>
          <w:szCs w:val="30"/>
          <w:lang w:val="en-US" w:eastAsia="zh-CN"/>
        </w:rPr>
        <w:t>0</w:t>
      </w:r>
      <w:r>
        <w:rPr>
          <w:rFonts w:ascii="仿宋_GB2312" w:eastAsia="仿宋_GB2312" w:hint="eastAsia"/>
          <w:sz w:val="30"/>
          <w:szCs w:val="30"/>
          <w:lang w:eastAsia="zh-CN"/>
        </w:rPr>
        <w:t>万元,减少主要原因是</w:t>
      </w:r>
      <w:r>
        <w:rPr>
          <w:rFonts w:ascii="仿宋_GB2312" w:eastAsia="仿宋_GB2312" w:hint="eastAsia"/>
          <w:sz w:val="30"/>
          <w:szCs w:val="30"/>
          <w:lang w:val="en-US" w:eastAsia="zh-CN"/>
        </w:rPr>
        <w:t>2018年项目支出推进力度不够大。</w:t>
      </w:r>
    </w:p>
    <w:p>
      <w:pPr>
        <w:widowControl/>
        <w:snapToGrid w:val="0"/>
        <w:spacing w:before="100" w:after="100" w:line="600" w:lineRule="exact"/>
        <w:ind w:firstLine="600" w:firstLineChars="200"/>
        <w:jc w:val="left"/>
        <w:rPr>
          <w:rFonts w:ascii="楷体" w:eastAsia="楷体" w:hAnsi="楷体" w:hint="eastAsia"/>
          <w:sz w:val="30"/>
          <w:szCs w:val="30"/>
        </w:rPr>
      </w:pPr>
      <w:r>
        <w:rPr>
          <w:rFonts w:ascii="楷体" w:eastAsia="楷体" w:hAnsi="楷体" w:hint="eastAsia"/>
          <w:sz w:val="30"/>
          <w:szCs w:val="30"/>
        </w:rPr>
        <w:t>（一）基本支出情况</w:t>
      </w:r>
    </w:p>
    <w:p>
      <w:pPr>
        <w:widowControl/>
        <w:snapToGrid w:val="0"/>
        <w:spacing w:before="100" w:after="100" w:line="600" w:lineRule="exact"/>
        <w:ind w:firstLine="600" w:firstLineChars="200"/>
        <w:jc w:val="left"/>
        <w:rPr>
          <w:rFonts w:ascii="仿宋_GB2312" w:eastAsia="仿宋_GB2312" w:hint="eastAsia"/>
          <w:sz w:val="30"/>
          <w:szCs w:val="30"/>
          <w:lang w:eastAsia="zh-CN"/>
        </w:rPr>
      </w:pPr>
      <w:r>
        <w:rPr>
          <w:rFonts w:ascii="仿宋_GB2312" w:eastAsia="仿宋_GB2312" w:hint="eastAsia"/>
          <w:sz w:val="30"/>
          <w:szCs w:val="30"/>
          <w:lang w:val="en-US" w:eastAsia="zh-CN"/>
        </w:rPr>
        <w:t>2018</w:t>
      </w:r>
      <w:r>
        <w:rPr>
          <w:rFonts w:ascii="仿宋_GB2312" w:eastAsia="仿宋_GB2312" w:hint="eastAsia"/>
          <w:sz w:val="30"/>
          <w:szCs w:val="30"/>
        </w:rPr>
        <w:t>年度用于保障</w:t>
      </w:r>
      <w:r>
        <w:rPr>
          <w:rFonts w:ascii="仿宋_GB2312" w:eastAsia="仿宋_GB2312" w:hint="eastAsia"/>
          <w:sz w:val="30"/>
          <w:szCs w:val="30"/>
          <w:lang w:eastAsia="zh-CN"/>
        </w:rPr>
        <w:t>本级部门</w:t>
      </w:r>
      <w:r>
        <w:rPr>
          <w:rFonts w:ascii="仿宋_GB2312" w:eastAsia="仿宋_GB2312" w:hint="eastAsia"/>
          <w:sz w:val="30"/>
          <w:szCs w:val="30"/>
        </w:rPr>
        <w:t>机构正常运转的日常支出</w:t>
      </w:r>
      <w:r>
        <w:rPr>
          <w:rFonts w:ascii="仿宋_GB2312" w:eastAsia="仿宋_GB2312" w:hint="eastAsia"/>
          <w:sz w:val="30"/>
          <w:szCs w:val="30"/>
          <w:lang w:val="en-US" w:eastAsia="zh-CN"/>
        </w:rPr>
        <w:t>688.01</w:t>
      </w:r>
      <w:r>
        <w:rPr>
          <w:rFonts w:ascii="仿宋_GB2312" w:eastAsia="仿宋_GB2312" w:hint="eastAsia"/>
          <w:sz w:val="30"/>
          <w:szCs w:val="30"/>
        </w:rPr>
        <w:t>万元。与上年对比日常支出</w:t>
      </w:r>
      <w:r>
        <w:rPr>
          <w:rFonts w:ascii="仿宋_GB2312" w:eastAsia="仿宋_GB2312" w:hint="eastAsia"/>
          <w:sz w:val="30"/>
          <w:szCs w:val="30"/>
          <w:lang w:eastAsia="zh-CN"/>
        </w:rPr>
        <w:t>增加</w:t>
      </w:r>
      <w:r>
        <w:rPr>
          <w:rFonts w:ascii="仿宋_GB2312" w:eastAsia="仿宋_GB2312" w:hint="eastAsia"/>
          <w:sz w:val="30"/>
          <w:szCs w:val="30"/>
          <w:lang w:val="en-US" w:eastAsia="zh-CN"/>
        </w:rPr>
        <w:t>70.51万元</w:t>
      </w:r>
      <w:r>
        <w:rPr>
          <w:rFonts w:ascii="仿宋_GB2312" w:eastAsia="仿宋_GB2312" w:hint="eastAsia"/>
          <w:sz w:val="30"/>
          <w:szCs w:val="30"/>
        </w:rPr>
        <w:t>,</w:t>
      </w:r>
      <w:r>
        <w:rPr>
          <w:rFonts w:ascii="仿宋_GB2312" w:eastAsia="仿宋_GB2312" w:hint="eastAsia"/>
          <w:sz w:val="30"/>
          <w:szCs w:val="30"/>
          <w:lang w:eastAsia="zh-CN"/>
        </w:rPr>
        <w:t>增加</w:t>
      </w:r>
      <w:r>
        <w:rPr>
          <w:rFonts w:ascii="仿宋_GB2312" w:eastAsia="仿宋_GB2312" w:hint="eastAsia"/>
          <w:sz w:val="30"/>
          <w:szCs w:val="30"/>
        </w:rPr>
        <w:t>主要原是职工工资福利和社会保险、住房公积金增加。包括基本工资、津贴补贴等人员经费支出占基本支出的</w:t>
      </w:r>
      <w:r>
        <w:rPr>
          <w:rFonts w:ascii="仿宋_GB2312" w:eastAsia="仿宋_GB2312" w:hint="eastAsia"/>
          <w:sz w:val="30"/>
          <w:szCs w:val="30"/>
          <w:lang w:val="en-US" w:eastAsia="zh-CN"/>
        </w:rPr>
        <w:t>94</w:t>
      </w:r>
      <w:r>
        <w:rPr>
          <w:rFonts w:ascii="仿宋_GB2312" w:eastAsia="仿宋_GB2312" w:hint="eastAsia"/>
          <w:sz w:val="30"/>
          <w:szCs w:val="30"/>
        </w:rPr>
        <w:t>％；办公费、印刷费、水电费、办公设备购置等日常公用经费占基本支出的</w:t>
      </w:r>
      <w:r>
        <w:rPr>
          <w:rFonts w:ascii="仿宋_GB2312" w:eastAsia="仿宋_GB2312" w:hint="eastAsia"/>
          <w:sz w:val="30"/>
          <w:szCs w:val="30"/>
          <w:lang w:val="en-US" w:eastAsia="zh-CN"/>
        </w:rPr>
        <w:t>6</w:t>
      </w:r>
      <w:r>
        <w:rPr>
          <w:rFonts w:ascii="仿宋_GB2312" w:eastAsia="仿宋_GB2312" w:hint="eastAsia"/>
          <w:sz w:val="30"/>
          <w:szCs w:val="30"/>
        </w:rPr>
        <w:t>％。</w:t>
      </w:r>
    </w:p>
    <w:p>
      <w:pPr>
        <w:widowControl/>
        <w:snapToGrid w:val="0"/>
        <w:spacing w:before="100" w:after="100" w:line="600" w:lineRule="exact"/>
        <w:ind w:firstLine="600" w:firstLineChars="200"/>
        <w:jc w:val="left"/>
        <w:rPr>
          <w:rFonts w:ascii="楷体" w:eastAsia="楷体" w:hAnsi="楷体" w:hint="eastAsia"/>
          <w:sz w:val="30"/>
          <w:szCs w:val="30"/>
        </w:rPr>
      </w:pPr>
      <w:r>
        <w:rPr>
          <w:rFonts w:ascii="楷体" w:eastAsia="楷体" w:hAnsi="楷体" w:hint="eastAsia"/>
          <w:sz w:val="30"/>
          <w:szCs w:val="30"/>
        </w:rPr>
        <w:t>（二）项目支出情况</w:t>
      </w:r>
    </w:p>
    <w:p>
      <w:pPr>
        <w:widowControl/>
        <w:snapToGrid w:val="0"/>
        <w:spacing w:before="100" w:after="100" w:line="600" w:lineRule="exact"/>
        <w:ind w:firstLine="600" w:firstLineChars="200"/>
        <w:jc w:val="left"/>
        <w:rPr>
          <w:rFonts w:ascii="仿宋_GB2312" w:eastAsia="仿宋_GB2312" w:hint="eastAsia"/>
          <w:sz w:val="30"/>
          <w:szCs w:val="30"/>
          <w:lang w:eastAsia="zh-CN"/>
        </w:rPr>
      </w:pPr>
      <w:r>
        <w:rPr>
          <w:rFonts w:ascii="仿宋_GB2312" w:eastAsia="仿宋_GB2312" w:hint="eastAsia"/>
          <w:sz w:val="30"/>
          <w:szCs w:val="30"/>
          <w:lang w:val="en-US" w:eastAsia="zh-CN"/>
        </w:rPr>
        <w:t>2018</w:t>
      </w:r>
      <w:r>
        <w:rPr>
          <w:rFonts w:ascii="仿宋_GB2312" w:eastAsia="仿宋_GB2312" w:hint="eastAsia"/>
          <w:sz w:val="30"/>
          <w:szCs w:val="30"/>
        </w:rPr>
        <w:t>年度用于保障</w:t>
      </w:r>
      <w:r>
        <w:rPr>
          <w:rFonts w:ascii="仿宋_GB2312" w:eastAsia="仿宋_GB2312" w:hint="eastAsia"/>
          <w:sz w:val="30"/>
          <w:szCs w:val="30"/>
          <w:lang w:eastAsia="zh-CN"/>
        </w:rPr>
        <w:t>本级部门</w:t>
      </w:r>
      <w:r>
        <w:rPr>
          <w:rFonts w:ascii="仿宋_GB2312" w:eastAsia="仿宋_GB2312" w:hint="eastAsia"/>
          <w:sz w:val="30"/>
          <w:szCs w:val="30"/>
        </w:rPr>
        <w:t>机构为完成特定的行政工作任务或事业发展目标，用于专项业务工作的经费支出</w:t>
      </w:r>
      <w:r>
        <w:rPr>
          <w:rFonts w:ascii="仿宋_GB2312" w:eastAsia="仿宋_GB2312" w:hint="eastAsia"/>
          <w:sz w:val="30"/>
          <w:szCs w:val="30"/>
          <w:lang w:val="en-US" w:eastAsia="zh-CN"/>
        </w:rPr>
        <w:t>521.90</w:t>
      </w:r>
      <w:r>
        <w:rPr>
          <w:rFonts w:ascii="仿宋_GB2312" w:eastAsia="仿宋_GB2312" w:hint="eastAsia"/>
          <w:sz w:val="30"/>
          <w:szCs w:val="30"/>
        </w:rPr>
        <w:t>万元。与上年对比项目支出减少11.70万元,减少主要原因是2018年项目支出推进力度不够大。</w:t>
      </w:r>
    </w:p>
    <w:p>
      <w:pPr>
        <w:widowControl/>
        <w:snapToGrid w:val="0"/>
        <w:spacing w:before="100" w:after="100" w:line="600" w:lineRule="exact"/>
        <w:ind w:firstLine="600" w:firstLineChars="200"/>
        <w:jc w:val="left"/>
        <w:rPr>
          <w:rFonts w:ascii="黑体" w:eastAsia="黑体" w:hAnsi="黑体" w:hint="eastAsia"/>
          <w:sz w:val="30"/>
          <w:szCs w:val="30"/>
        </w:rPr>
      </w:pPr>
      <w:r>
        <w:rPr>
          <w:rFonts w:ascii="黑体" w:eastAsia="黑体" w:hAnsi="黑体" w:hint="eastAsia"/>
          <w:sz w:val="30"/>
          <w:szCs w:val="30"/>
        </w:rPr>
        <w:t>三、一般公共预算财政拨款支出决算情况说明</w:t>
      </w:r>
    </w:p>
    <w:p>
      <w:pPr>
        <w:widowControl/>
        <w:snapToGrid w:val="0"/>
        <w:spacing w:before="100" w:after="100" w:line="600" w:lineRule="exact"/>
        <w:ind w:firstLine="600" w:firstLineChars="200"/>
        <w:jc w:val="left"/>
        <w:rPr>
          <w:rFonts w:ascii="楷体" w:eastAsia="楷体" w:hAnsi="楷体" w:hint="eastAsia"/>
          <w:sz w:val="30"/>
          <w:szCs w:val="30"/>
        </w:rPr>
      </w:pPr>
      <w:r>
        <w:rPr>
          <w:rFonts w:ascii="楷体" w:eastAsia="楷体" w:hAnsi="楷体" w:hint="eastAsia"/>
          <w:sz w:val="30"/>
          <w:szCs w:val="30"/>
        </w:rPr>
        <w:t>（一）一般公共预算财政拨款支出决算总体情况</w:t>
      </w:r>
    </w:p>
    <w:p>
      <w:pPr>
        <w:widowControl/>
        <w:snapToGrid w:val="0"/>
        <w:spacing w:before="100" w:after="100" w:line="600" w:lineRule="exact"/>
        <w:ind w:firstLine="600" w:firstLineChars="200"/>
        <w:jc w:val="left"/>
        <w:rPr>
          <w:rFonts w:ascii="仿宋_GB2312" w:eastAsia="仿宋_GB2312" w:hAnsi="宋体" w:cs="Arial" w:hint="eastAsia"/>
          <w:kern w:val="0"/>
          <w:sz w:val="30"/>
          <w:szCs w:val="30"/>
        </w:rPr>
      </w:pPr>
      <w:r>
        <w:rPr>
          <w:rFonts w:ascii="仿宋_GB2312" w:eastAsia="仿宋_GB2312" w:hint="eastAsia"/>
          <w:sz w:val="30"/>
          <w:szCs w:val="30"/>
          <w:lang w:eastAsia="zh-CN"/>
        </w:rPr>
        <w:t>迪庆州住房公积金管理中心</w:t>
      </w:r>
      <w:r>
        <w:rPr>
          <w:rFonts w:ascii="仿宋_GB2312" w:eastAsia="仿宋_GB2312" w:hint="eastAsia"/>
          <w:sz w:val="30"/>
          <w:szCs w:val="30"/>
          <w:lang w:val="en-US" w:eastAsia="zh-CN"/>
        </w:rPr>
        <w:t>2018</w:t>
      </w:r>
      <w:r>
        <w:rPr>
          <w:rFonts w:ascii="仿宋_GB2312" w:eastAsia="仿宋_GB2312" w:hint="eastAsia"/>
          <w:sz w:val="30"/>
          <w:szCs w:val="30"/>
        </w:rPr>
        <w:t>年度一般公共预算财政拨款支出</w:t>
      </w:r>
      <w:r>
        <w:rPr>
          <w:rFonts w:ascii="仿宋_GB2312" w:eastAsia="仿宋_GB2312" w:hAnsi="宋体" w:cs="Arial" w:hint="eastAsia"/>
          <w:kern w:val="0"/>
          <w:sz w:val="30"/>
          <w:szCs w:val="30"/>
          <w:lang w:val="en-US" w:eastAsia="zh-CN"/>
        </w:rPr>
        <w:t>1115.86</w:t>
      </w:r>
      <w:r>
        <w:rPr>
          <w:rFonts w:ascii="仿宋_GB2312" w:eastAsia="仿宋_GB2312" w:hAnsi="宋体" w:cs="Arial" w:hint="eastAsia"/>
          <w:kern w:val="0"/>
          <w:sz w:val="30"/>
          <w:szCs w:val="30"/>
        </w:rPr>
        <w:t>万元,占本年支出合计的</w:t>
      </w:r>
      <w:r>
        <w:rPr>
          <w:rFonts w:ascii="仿宋_GB2312" w:eastAsia="仿宋_GB2312" w:hint="eastAsia"/>
          <w:sz w:val="30"/>
          <w:szCs w:val="30"/>
          <w:lang w:val="en-US" w:eastAsia="zh-CN"/>
        </w:rPr>
        <w:t>92</w:t>
      </w:r>
      <w:r>
        <w:rPr>
          <w:rFonts w:ascii="仿宋_GB2312" w:eastAsia="仿宋_GB2312" w:hAnsi="宋体" w:cs="Arial" w:hint="eastAsia"/>
          <w:kern w:val="0"/>
          <w:sz w:val="30"/>
          <w:szCs w:val="30"/>
        </w:rPr>
        <w:t>%。与上年对比增加</w:t>
      </w:r>
      <w:r>
        <w:rPr>
          <w:rFonts w:ascii="仿宋_GB2312" w:eastAsia="仿宋_GB2312" w:hAnsi="宋体" w:cs="Arial" w:hint="eastAsia"/>
          <w:kern w:val="0"/>
          <w:sz w:val="30"/>
          <w:szCs w:val="30"/>
          <w:lang w:val="en-US" w:eastAsia="zh-CN"/>
        </w:rPr>
        <w:t>14.51</w:t>
      </w:r>
      <w:r>
        <w:rPr>
          <w:rFonts w:ascii="仿宋_GB2312" w:eastAsia="仿宋_GB2312" w:hAnsi="宋体" w:cs="Arial" w:hint="eastAsia"/>
          <w:kern w:val="0"/>
          <w:sz w:val="30"/>
          <w:szCs w:val="30"/>
        </w:rPr>
        <w:t>万元,增加主要原是职工工资福利和社会保险、住房公积金增加。</w:t>
      </w:r>
    </w:p>
    <w:p>
      <w:pPr>
        <w:widowControl/>
        <w:snapToGrid w:val="0"/>
        <w:spacing w:before="100" w:after="100" w:line="600" w:lineRule="exact"/>
        <w:ind w:firstLine="600" w:firstLineChars="200"/>
        <w:jc w:val="left"/>
        <w:rPr>
          <w:rFonts w:ascii="楷体" w:eastAsia="楷体" w:hAnsi="楷体" w:hint="eastAsia"/>
          <w:sz w:val="30"/>
          <w:szCs w:val="30"/>
        </w:rPr>
      </w:pPr>
      <w:r>
        <w:rPr>
          <w:rFonts w:ascii="楷体" w:eastAsia="楷体" w:hAnsi="楷体" w:hint="eastAsia"/>
          <w:sz w:val="30"/>
          <w:szCs w:val="30"/>
        </w:rPr>
        <w:t>（二）一般公共预算财政拨款支出决算具体情况</w:t>
      </w:r>
      <w:r>
        <w:rPr>
          <w:rFonts w:ascii="楷体" w:eastAsia="楷体" w:hAnsi="楷体" w:hint="eastAsia"/>
          <w:sz w:val="30"/>
          <w:szCs w:val="30"/>
        </w:rPr>
        <w:tab/>
      </w:r>
      <w:r>
        <w:rPr>
          <w:rFonts w:ascii="楷体" w:eastAsia="楷体" w:hAnsi="楷体" w:hint="eastAsia"/>
          <w:sz w:val="30"/>
          <w:szCs w:val="30"/>
        </w:rPr>
        <w:tab/>
      </w:r>
      <w:r>
        <w:rPr>
          <w:rFonts w:ascii="楷体" w:eastAsia="楷体" w:hAnsi="楷体" w:hint="eastAsia"/>
          <w:sz w:val="30"/>
          <w:szCs w:val="30"/>
        </w:rPr>
        <w:tab/>
      </w:r>
    </w:p>
    <w:p>
      <w:pPr>
        <w:widowControl/>
        <w:snapToGrid w:val="0"/>
        <w:spacing w:before="100" w:after="100" w:line="360" w:lineRule="auto"/>
        <w:ind w:firstLine="600" w:firstLineChars="200"/>
        <w:jc w:val="left"/>
        <w:rPr>
          <w:rFonts w:ascii="仿宋_GB2312" w:eastAsia="仿宋_GB2312" w:hAnsi="宋体" w:cs="Arial" w:hint="eastAsia"/>
          <w:kern w:val="0"/>
          <w:sz w:val="30"/>
          <w:szCs w:val="30"/>
        </w:rPr>
      </w:pPr>
      <w:r>
        <w:rPr>
          <w:rFonts w:ascii="仿宋_GB2312" w:eastAsia="仿宋_GB2312" w:hAnsi="宋体" w:cs="Arial" w:hint="eastAsia"/>
          <w:kern w:val="0"/>
          <w:sz w:val="30"/>
          <w:szCs w:val="30"/>
        </w:rPr>
        <w:t>1.一般公共服务（类）支出</w:t>
      </w:r>
      <w:r>
        <w:rPr>
          <w:rFonts w:ascii="仿宋_GB2312" w:eastAsia="仿宋_GB2312" w:hAnsi="宋体" w:cs="Arial" w:hint="eastAsia"/>
          <w:kern w:val="0"/>
          <w:sz w:val="30"/>
          <w:szCs w:val="30"/>
          <w:lang w:val="en-US" w:eastAsia="zh-CN"/>
        </w:rPr>
        <w:t>539.31</w:t>
      </w:r>
      <w:r>
        <w:rPr>
          <w:rFonts w:ascii="仿宋_GB2312" w:eastAsia="仿宋_GB2312" w:hAnsi="宋体" w:cs="Arial" w:hint="eastAsia"/>
          <w:kern w:val="0"/>
          <w:sz w:val="30"/>
          <w:szCs w:val="30"/>
        </w:rPr>
        <w:t>万元，</w:t>
      </w:r>
      <w:r>
        <w:rPr>
          <w:rFonts w:ascii="仿宋_GB2312" w:eastAsia="仿宋_GB2312" w:hint="eastAsia"/>
          <w:sz w:val="30"/>
          <w:szCs w:val="30"/>
        </w:rPr>
        <w:t>占一般公共预算财政拨款总支出的</w:t>
      </w:r>
      <w:r>
        <w:rPr>
          <w:rFonts w:ascii="仿宋_GB2312" w:eastAsia="仿宋_GB2312" w:hint="eastAsia"/>
          <w:sz w:val="30"/>
          <w:szCs w:val="30"/>
          <w:lang w:val="en-US" w:eastAsia="zh-CN"/>
        </w:rPr>
        <w:t>48</w:t>
      </w:r>
      <w:r>
        <w:rPr>
          <w:rFonts w:ascii="仿宋_GB2312" w:eastAsia="仿宋_GB2312" w:hint="eastAsia"/>
          <w:sz w:val="30"/>
          <w:szCs w:val="30"/>
        </w:rPr>
        <w:t>%。</w:t>
      </w:r>
      <w:r>
        <w:rPr>
          <w:rFonts w:ascii="仿宋_GB2312" w:eastAsia="仿宋_GB2312" w:hAnsi="宋体" w:cs="Arial" w:hint="eastAsia"/>
          <w:kern w:val="0"/>
          <w:sz w:val="30"/>
          <w:szCs w:val="30"/>
        </w:rPr>
        <w:t>主要用于</w:t>
      </w:r>
      <w:r>
        <w:rPr>
          <w:rFonts w:ascii="仿宋_GB2312" w:eastAsia="仿宋_GB2312" w:hAnsi="宋体" w:cs="Arial" w:hint="eastAsia"/>
          <w:kern w:val="0"/>
          <w:sz w:val="30"/>
          <w:szCs w:val="30"/>
          <w:lang w:eastAsia="zh-CN"/>
        </w:rPr>
        <w:t>保障迪庆州住房公积金管理中心正常运转，职工工资福利保障支出</w:t>
      </w:r>
      <w:r>
        <w:rPr>
          <w:rFonts w:ascii="仿宋_GB2312" w:eastAsia="仿宋_GB2312" w:hAnsi="宋体" w:cs="Arial" w:hint="eastAsia"/>
          <w:kern w:val="0"/>
          <w:sz w:val="30"/>
          <w:szCs w:val="30"/>
        </w:rPr>
        <w:t>；</w:t>
      </w:r>
    </w:p>
    <w:p>
      <w:pPr>
        <w:widowControl/>
        <w:snapToGrid w:val="0"/>
        <w:spacing w:before="100" w:after="100" w:line="360" w:lineRule="auto"/>
        <w:ind w:firstLine="600" w:firstLineChars="200"/>
        <w:jc w:val="left"/>
        <w:rPr>
          <w:rFonts w:ascii="仿宋_GB2312" w:eastAsia="仿宋_GB2312" w:hAnsi="宋体" w:cs="Arial" w:hint="eastAsia"/>
          <w:kern w:val="0"/>
          <w:sz w:val="30"/>
          <w:szCs w:val="30"/>
        </w:rPr>
      </w:pPr>
      <w:r>
        <w:rPr>
          <w:rFonts w:ascii="仿宋_GB2312" w:eastAsia="仿宋_GB2312" w:hAnsi="宋体" w:cs="Arial" w:hint="eastAsia"/>
          <w:kern w:val="0"/>
          <w:sz w:val="30"/>
          <w:szCs w:val="30"/>
        </w:rPr>
        <w:t>2.社会保障和就业</w:t>
      </w:r>
      <w:r>
        <w:rPr>
          <w:rFonts w:ascii="仿宋_GB2312" w:eastAsia="仿宋_GB2312" w:hAnsi="宋体" w:cs="Arial" w:hint="eastAsia"/>
          <w:kern w:val="0"/>
          <w:sz w:val="30"/>
          <w:szCs w:val="30"/>
        </w:rPr>
        <w:t>（类）</w:t>
      </w:r>
      <w:r>
        <w:rPr>
          <w:rFonts w:ascii="仿宋_GB2312" w:eastAsia="仿宋_GB2312" w:hAnsi="宋体" w:cs="Arial" w:hint="eastAsia"/>
          <w:kern w:val="0"/>
          <w:sz w:val="30"/>
          <w:szCs w:val="30"/>
        </w:rPr>
        <w:t>支出</w:t>
      </w:r>
      <w:r>
        <w:rPr>
          <w:rFonts w:ascii="仿宋_GB2312" w:eastAsia="仿宋_GB2312" w:hint="eastAsia"/>
          <w:sz w:val="30"/>
          <w:szCs w:val="30"/>
          <w:lang w:val="en-US" w:eastAsia="zh-CN"/>
        </w:rPr>
        <w:t>67.12</w:t>
      </w:r>
      <w:r>
        <w:rPr>
          <w:rFonts w:ascii="仿宋_GB2312" w:eastAsia="仿宋_GB2312" w:hAnsi="宋体" w:cs="Arial" w:hint="eastAsia"/>
          <w:kern w:val="0"/>
          <w:sz w:val="30"/>
          <w:szCs w:val="30"/>
        </w:rPr>
        <w:t>万元，</w:t>
      </w:r>
      <w:r>
        <w:rPr>
          <w:rFonts w:ascii="仿宋_GB2312" w:eastAsia="仿宋_GB2312" w:hint="eastAsia"/>
          <w:sz w:val="30"/>
          <w:szCs w:val="30"/>
        </w:rPr>
        <w:t>占一般公共预算财政拨款总支出的</w:t>
      </w:r>
      <w:r>
        <w:rPr>
          <w:rFonts w:ascii="仿宋_GB2312" w:eastAsia="仿宋_GB2312" w:hint="eastAsia"/>
          <w:sz w:val="30"/>
          <w:szCs w:val="30"/>
          <w:lang w:val="en-US" w:eastAsia="zh-CN"/>
        </w:rPr>
        <w:t>8</w:t>
      </w:r>
      <w:r>
        <w:rPr>
          <w:rFonts w:ascii="仿宋_GB2312" w:eastAsia="仿宋_GB2312" w:hint="eastAsia"/>
          <w:sz w:val="30"/>
          <w:szCs w:val="30"/>
        </w:rPr>
        <w:t>%。</w:t>
      </w:r>
      <w:r>
        <w:rPr>
          <w:rFonts w:ascii="仿宋_GB2312" w:eastAsia="仿宋_GB2312" w:hAnsi="宋体" w:cs="Arial" w:hint="eastAsia"/>
          <w:kern w:val="0"/>
          <w:sz w:val="30"/>
          <w:szCs w:val="30"/>
        </w:rPr>
        <w:t>主要用于</w:t>
      </w:r>
      <w:r>
        <w:rPr>
          <w:rFonts w:ascii="仿宋_GB2312" w:eastAsia="仿宋_GB2312" w:hAnsi="宋体" w:cs="Arial" w:hint="eastAsia"/>
          <w:kern w:val="0"/>
          <w:sz w:val="30"/>
          <w:szCs w:val="30"/>
          <w:lang w:eastAsia="zh-CN"/>
        </w:rPr>
        <w:t>单位离退休人员和离退休管理机构的相关支出（养老保险支出）</w:t>
      </w:r>
      <w:r>
        <w:rPr>
          <w:rFonts w:ascii="仿宋_GB2312" w:eastAsia="仿宋_GB2312" w:hAnsi="宋体" w:cs="Arial" w:hint="eastAsia"/>
          <w:kern w:val="0"/>
          <w:sz w:val="30"/>
          <w:szCs w:val="30"/>
        </w:rPr>
        <w:t>；</w:t>
      </w:r>
    </w:p>
    <w:p>
      <w:pPr>
        <w:widowControl/>
        <w:snapToGrid w:val="0"/>
        <w:spacing w:before="100" w:after="100" w:line="360" w:lineRule="auto"/>
        <w:ind w:firstLine="600" w:firstLineChars="200"/>
        <w:jc w:val="left"/>
        <w:rPr>
          <w:rFonts w:ascii="仿宋_GB2312" w:eastAsia="仿宋_GB2312" w:hAnsi="宋体" w:cs="Arial" w:hint="eastAsia"/>
          <w:kern w:val="0"/>
          <w:sz w:val="30"/>
          <w:szCs w:val="30"/>
        </w:rPr>
      </w:pPr>
      <w:r>
        <w:rPr>
          <w:rFonts w:ascii="仿宋_GB2312" w:eastAsia="仿宋_GB2312" w:hAnsi="宋体" w:cs="Arial" w:hint="eastAsia"/>
          <w:kern w:val="0"/>
          <w:sz w:val="30"/>
          <w:szCs w:val="30"/>
        </w:rPr>
        <w:t>3.医疗卫生与计划生育</w:t>
      </w:r>
      <w:r>
        <w:rPr>
          <w:rFonts w:ascii="仿宋_GB2312" w:eastAsia="仿宋_GB2312" w:hAnsi="宋体" w:cs="Arial" w:hint="eastAsia"/>
          <w:kern w:val="0"/>
          <w:sz w:val="30"/>
          <w:szCs w:val="30"/>
        </w:rPr>
        <w:t>（类）</w:t>
      </w:r>
      <w:r>
        <w:rPr>
          <w:rFonts w:ascii="仿宋_GB2312" w:eastAsia="仿宋_GB2312" w:hAnsi="宋体" w:cs="Arial" w:hint="eastAsia"/>
          <w:kern w:val="0"/>
          <w:sz w:val="30"/>
          <w:szCs w:val="30"/>
        </w:rPr>
        <w:t>支出</w:t>
      </w:r>
      <w:r>
        <w:rPr>
          <w:rFonts w:ascii="仿宋_GB2312" w:eastAsia="仿宋_GB2312" w:hint="eastAsia"/>
          <w:sz w:val="30"/>
          <w:szCs w:val="30"/>
          <w:lang w:val="en-US" w:eastAsia="zh-CN"/>
        </w:rPr>
        <w:t>38.90</w:t>
      </w:r>
      <w:r>
        <w:rPr>
          <w:rFonts w:ascii="仿宋_GB2312" w:eastAsia="仿宋_GB2312" w:hAnsi="宋体" w:cs="Arial" w:hint="eastAsia"/>
          <w:kern w:val="0"/>
          <w:sz w:val="30"/>
          <w:szCs w:val="30"/>
        </w:rPr>
        <w:t>万元，</w:t>
      </w:r>
      <w:r>
        <w:rPr>
          <w:rFonts w:ascii="仿宋_GB2312" w:eastAsia="仿宋_GB2312" w:hint="eastAsia"/>
          <w:sz w:val="30"/>
          <w:szCs w:val="30"/>
        </w:rPr>
        <w:t>占一般公共预算财政拨款总支出的</w:t>
      </w:r>
      <w:r>
        <w:rPr>
          <w:rFonts w:ascii="仿宋_GB2312" w:eastAsia="仿宋_GB2312" w:hint="eastAsia"/>
          <w:sz w:val="30"/>
          <w:szCs w:val="30"/>
          <w:lang w:val="en-US" w:eastAsia="zh-CN"/>
        </w:rPr>
        <w:t>3</w:t>
      </w:r>
      <w:r>
        <w:rPr>
          <w:rFonts w:ascii="仿宋_GB2312" w:eastAsia="仿宋_GB2312" w:hint="eastAsia"/>
          <w:sz w:val="30"/>
          <w:szCs w:val="30"/>
        </w:rPr>
        <w:t>%。</w:t>
      </w:r>
      <w:r>
        <w:rPr>
          <w:rFonts w:ascii="仿宋_GB2312" w:eastAsia="仿宋_GB2312" w:hAnsi="宋体" w:cs="Arial" w:hint="eastAsia"/>
          <w:kern w:val="0"/>
          <w:sz w:val="30"/>
          <w:szCs w:val="30"/>
        </w:rPr>
        <w:t>主要用于</w:t>
      </w:r>
      <w:r>
        <w:rPr>
          <w:rFonts w:ascii="仿宋_GB2312" w:eastAsia="仿宋_GB2312" w:hAnsi="宋体" w:cs="Arial" w:hint="eastAsia"/>
          <w:kern w:val="0"/>
          <w:sz w:val="30"/>
          <w:szCs w:val="30"/>
          <w:lang w:eastAsia="zh-CN"/>
        </w:rPr>
        <w:t>职工基本医疗保险经费和公务员医疗补助经费支出</w:t>
      </w:r>
      <w:r>
        <w:rPr>
          <w:rFonts w:ascii="仿宋_GB2312" w:eastAsia="仿宋_GB2312" w:hAnsi="宋体" w:cs="Arial" w:hint="eastAsia"/>
          <w:kern w:val="0"/>
          <w:sz w:val="30"/>
          <w:szCs w:val="30"/>
        </w:rPr>
        <w:t>；</w:t>
      </w:r>
    </w:p>
    <w:p>
      <w:pPr>
        <w:widowControl/>
        <w:snapToGrid w:val="0"/>
        <w:spacing w:before="100" w:after="100" w:line="360" w:lineRule="auto"/>
        <w:ind w:firstLine="600" w:firstLineChars="200"/>
        <w:jc w:val="left"/>
        <w:rPr>
          <w:rFonts w:ascii="仿宋_GB2312" w:eastAsia="仿宋_GB2312" w:hAnsi="宋体" w:cs="Arial" w:hint="eastAsia"/>
          <w:kern w:val="0"/>
          <w:sz w:val="30"/>
          <w:szCs w:val="30"/>
          <w:lang w:eastAsia="zh-CN"/>
        </w:rPr>
      </w:pPr>
      <w:r>
        <w:rPr>
          <w:rFonts w:ascii="仿宋_GB2312" w:eastAsia="仿宋_GB2312" w:hAnsi="宋体" w:cs="Arial" w:hint="eastAsia"/>
          <w:kern w:val="0"/>
          <w:sz w:val="30"/>
          <w:szCs w:val="30"/>
        </w:rPr>
        <w:t>4.住房保障支出</w:t>
      </w:r>
      <w:r>
        <w:rPr>
          <w:rFonts w:ascii="仿宋_GB2312" w:eastAsia="仿宋_GB2312" w:hAnsi="宋体" w:cs="Arial" w:hint="eastAsia"/>
          <w:kern w:val="0"/>
          <w:sz w:val="30"/>
          <w:szCs w:val="30"/>
        </w:rPr>
        <w:t>（类）</w:t>
      </w:r>
      <w:r>
        <w:rPr>
          <w:rFonts w:ascii="仿宋_GB2312" w:eastAsia="仿宋_GB2312" w:hint="eastAsia"/>
          <w:sz w:val="30"/>
          <w:szCs w:val="30"/>
          <w:lang w:val="en-US" w:eastAsia="zh-CN"/>
        </w:rPr>
        <w:t>470.53</w:t>
      </w:r>
      <w:r>
        <w:rPr>
          <w:rFonts w:ascii="仿宋_GB2312" w:eastAsia="仿宋_GB2312" w:hAnsi="宋体" w:cs="Arial" w:hint="eastAsia"/>
          <w:kern w:val="0"/>
          <w:sz w:val="30"/>
          <w:szCs w:val="30"/>
        </w:rPr>
        <w:t>万元，</w:t>
      </w:r>
      <w:r>
        <w:rPr>
          <w:rFonts w:ascii="仿宋_GB2312" w:eastAsia="仿宋_GB2312" w:hint="eastAsia"/>
          <w:sz w:val="30"/>
          <w:szCs w:val="30"/>
        </w:rPr>
        <w:t>占一般公共预算财政拨款总支出的</w:t>
      </w:r>
      <w:r>
        <w:rPr>
          <w:rFonts w:ascii="仿宋_GB2312" w:eastAsia="仿宋_GB2312" w:hint="eastAsia"/>
          <w:sz w:val="30"/>
          <w:szCs w:val="30"/>
          <w:lang w:val="en-US" w:eastAsia="zh-CN"/>
        </w:rPr>
        <w:t>41</w:t>
      </w:r>
      <w:r>
        <w:rPr>
          <w:rFonts w:ascii="仿宋_GB2312" w:eastAsia="仿宋_GB2312" w:hint="eastAsia"/>
          <w:sz w:val="30"/>
          <w:szCs w:val="30"/>
        </w:rPr>
        <w:t>%。</w:t>
      </w:r>
      <w:r>
        <w:rPr>
          <w:rFonts w:ascii="仿宋_GB2312" w:eastAsia="仿宋_GB2312" w:hAnsi="宋体" w:cs="Arial" w:hint="eastAsia"/>
          <w:kern w:val="0"/>
          <w:sz w:val="30"/>
          <w:szCs w:val="30"/>
        </w:rPr>
        <w:t>主要用于保障迪庆州住房公积金管理中心正常运转，完成</w:t>
      </w:r>
      <w:r>
        <w:rPr>
          <w:rFonts w:ascii="仿宋_GB2312" w:eastAsia="仿宋_GB2312" w:hAnsi="宋体" w:cs="Arial" w:hint="eastAsia"/>
          <w:kern w:val="0"/>
          <w:sz w:val="30"/>
          <w:szCs w:val="30"/>
          <w:lang w:eastAsia="zh-CN"/>
        </w:rPr>
        <w:t>省建设厅和</w:t>
      </w:r>
      <w:r>
        <w:rPr>
          <w:rFonts w:ascii="仿宋_GB2312" w:eastAsia="仿宋_GB2312" w:hAnsi="宋体" w:cs="Arial" w:hint="eastAsia"/>
          <w:kern w:val="0"/>
          <w:sz w:val="30"/>
          <w:szCs w:val="30"/>
        </w:rPr>
        <w:t>州委州政府安排</w:t>
      </w:r>
      <w:r>
        <w:rPr>
          <w:rFonts w:ascii="仿宋_GB2312" w:eastAsia="仿宋_GB2312" w:hAnsi="宋体" w:cs="Arial" w:hint="eastAsia"/>
          <w:kern w:val="0"/>
          <w:sz w:val="30"/>
          <w:szCs w:val="30"/>
          <w:lang w:eastAsia="zh-CN"/>
        </w:rPr>
        <w:t>各种项目建设支出</w:t>
      </w:r>
      <w:r>
        <w:rPr>
          <w:rFonts w:ascii="仿宋_GB2312" w:eastAsia="仿宋_GB2312" w:hAnsi="宋体" w:cs="Arial" w:hint="eastAsia"/>
          <w:kern w:val="0"/>
          <w:sz w:val="30"/>
          <w:szCs w:val="30"/>
        </w:rPr>
        <w:t>；</w:t>
      </w:r>
      <w:r>
        <w:rPr>
          <w:rFonts w:ascii="仿宋_GB2312" w:eastAsia="仿宋_GB2312" w:hAnsi="宋体" w:cs="Arial" w:hint="eastAsia"/>
          <w:kern w:val="0"/>
          <w:sz w:val="30"/>
          <w:szCs w:val="30"/>
          <w:lang w:eastAsia="zh-CN"/>
        </w:rPr>
        <w:t>职工住房公积金支出；</w:t>
      </w:r>
    </w:p>
    <w:p>
      <w:pPr>
        <w:widowControl/>
        <w:snapToGrid w:val="0"/>
        <w:spacing w:before="100" w:after="100" w:line="360" w:lineRule="auto"/>
        <w:ind w:firstLine="600" w:firstLineChars="200"/>
        <w:jc w:val="left"/>
        <w:rPr>
          <w:rFonts w:ascii="黑体" w:eastAsia="黑体" w:hAnsi="黑体" w:hint="eastAsia"/>
          <w:sz w:val="30"/>
          <w:szCs w:val="30"/>
        </w:rPr>
      </w:pPr>
      <w:r>
        <w:rPr>
          <w:rFonts w:ascii="黑体" w:eastAsia="黑体" w:hAnsi="黑体" w:hint="eastAsia"/>
          <w:sz w:val="30"/>
          <w:szCs w:val="30"/>
        </w:rPr>
        <w:t>四、一般公共预算财政拨款</w:t>
      </w:r>
      <w:r>
        <w:rPr>
          <w:rFonts w:ascii="黑体" w:eastAsia="黑体" w:hAnsi="黑体" w:hint="eastAsia"/>
          <w:sz w:val="30"/>
          <w:szCs w:val="30"/>
        </w:rPr>
        <w:t>“</w:t>
      </w:r>
      <w:r>
        <w:rPr>
          <w:rFonts w:ascii="黑体" w:eastAsia="黑体" w:hAnsi="黑体" w:hint="eastAsia"/>
          <w:sz w:val="30"/>
          <w:szCs w:val="30"/>
        </w:rPr>
        <w:t>三公</w:t>
      </w:r>
      <w:r>
        <w:rPr>
          <w:rFonts w:ascii="黑体" w:eastAsia="黑体" w:hAnsi="黑体" w:hint="eastAsia"/>
          <w:sz w:val="30"/>
          <w:szCs w:val="30"/>
        </w:rPr>
        <w:t>”</w:t>
      </w:r>
      <w:r>
        <w:rPr>
          <w:rFonts w:ascii="黑体" w:eastAsia="黑体" w:hAnsi="黑体" w:hint="eastAsia"/>
          <w:sz w:val="30"/>
          <w:szCs w:val="30"/>
        </w:rPr>
        <w:t>经费支出决算情况说明</w:t>
      </w:r>
    </w:p>
    <w:p>
      <w:pPr>
        <w:widowControl/>
        <w:snapToGrid w:val="0"/>
        <w:spacing w:before="100" w:after="100" w:line="360" w:lineRule="auto"/>
        <w:ind w:firstLine="600" w:firstLineChars="200"/>
        <w:jc w:val="left"/>
        <w:rPr>
          <w:rFonts w:ascii="楷体" w:eastAsia="楷体" w:hAnsi="楷体" w:hint="eastAsia"/>
          <w:sz w:val="30"/>
          <w:szCs w:val="30"/>
        </w:rPr>
      </w:pPr>
      <w:r>
        <w:rPr>
          <w:rFonts w:ascii="楷体" w:eastAsia="楷体" w:hAnsi="楷体" w:hint="eastAsia"/>
          <w:sz w:val="30"/>
          <w:szCs w:val="30"/>
        </w:rPr>
        <w:t>(一)</w:t>
      </w:r>
      <w:r>
        <w:rPr>
          <w:rFonts w:ascii="黑体" w:eastAsia="黑体" w:hAnsi="黑体" w:hint="eastAsia"/>
          <w:sz w:val="30"/>
          <w:szCs w:val="30"/>
        </w:rPr>
        <w:t xml:space="preserve"> </w:t>
      </w:r>
      <w:r>
        <w:rPr>
          <w:rFonts w:ascii="楷体" w:eastAsia="楷体" w:hAnsi="楷体" w:hint="eastAsia"/>
          <w:sz w:val="30"/>
          <w:szCs w:val="30"/>
        </w:rPr>
        <w:t>一般公共预算财政拨款</w:t>
      </w:r>
      <w:r>
        <w:rPr>
          <w:rFonts w:ascii="楷体" w:eastAsia="楷体" w:hAnsi="楷体" w:hint="eastAsia"/>
          <w:sz w:val="30"/>
          <w:szCs w:val="30"/>
        </w:rPr>
        <w:t>“</w:t>
      </w:r>
      <w:r>
        <w:rPr>
          <w:rFonts w:ascii="楷体" w:eastAsia="楷体" w:hAnsi="楷体" w:hint="eastAsia"/>
          <w:sz w:val="30"/>
          <w:szCs w:val="30"/>
        </w:rPr>
        <w:t>三公</w:t>
      </w:r>
      <w:r>
        <w:rPr>
          <w:rFonts w:ascii="楷体" w:eastAsia="楷体" w:hAnsi="楷体" w:hint="eastAsia"/>
          <w:sz w:val="30"/>
          <w:szCs w:val="30"/>
        </w:rPr>
        <w:t>”</w:t>
      </w:r>
      <w:r>
        <w:rPr>
          <w:rFonts w:ascii="楷体" w:eastAsia="楷体" w:hAnsi="楷体" w:hint="eastAsia"/>
          <w:sz w:val="30"/>
          <w:szCs w:val="30"/>
        </w:rPr>
        <w:t>经费支出决算总体情况</w:t>
      </w:r>
    </w:p>
    <w:p>
      <w:pPr>
        <w:widowControl/>
        <w:snapToGrid w:val="0"/>
        <w:spacing w:before="100" w:after="100" w:line="360" w:lineRule="auto"/>
        <w:ind w:firstLine="600" w:firstLineChars="200"/>
        <w:jc w:val="left"/>
        <w:rPr>
          <w:rFonts w:ascii="仿宋_GB2312" w:eastAsia="仿宋_GB2312" w:hint="eastAsia"/>
          <w:sz w:val="30"/>
          <w:szCs w:val="30"/>
        </w:rPr>
      </w:pPr>
      <w:r>
        <w:rPr>
          <w:rFonts w:ascii="仿宋_GB2312" w:eastAsia="仿宋_GB2312" w:hint="eastAsia"/>
          <w:sz w:val="30"/>
          <w:szCs w:val="30"/>
          <w:lang w:eastAsia="zh-CN"/>
        </w:rPr>
        <w:t>迪庆州住房公积金管理中心</w:t>
      </w:r>
      <w:r>
        <w:rPr>
          <w:rFonts w:ascii="仿宋_GB2312" w:eastAsia="仿宋_GB2312" w:hint="eastAsia"/>
          <w:sz w:val="30"/>
          <w:szCs w:val="30"/>
          <w:lang w:val="en-US" w:eastAsia="zh-CN"/>
        </w:rPr>
        <w:t>2018</w:t>
      </w:r>
      <w:r>
        <w:rPr>
          <w:rFonts w:ascii="仿宋_GB2312" w:eastAsia="仿宋_GB2312" w:hint="eastAsia"/>
          <w:sz w:val="30"/>
          <w:szCs w:val="30"/>
        </w:rPr>
        <w:t>年度一般公共预算财政拨款</w:t>
      </w:r>
      <w:r>
        <w:rPr>
          <w:rFonts w:ascii="仿宋_GB2312" w:eastAsia="仿宋_GB2312" w:hint="eastAsia"/>
          <w:sz w:val="30"/>
          <w:szCs w:val="30"/>
        </w:rPr>
        <w:t>“</w:t>
      </w:r>
      <w:r>
        <w:rPr>
          <w:rFonts w:ascii="仿宋_GB2312" w:eastAsia="仿宋_GB2312" w:hint="eastAsia"/>
          <w:sz w:val="30"/>
          <w:szCs w:val="30"/>
        </w:rPr>
        <w:t>三公</w:t>
      </w:r>
      <w:r>
        <w:rPr>
          <w:rFonts w:ascii="仿宋_GB2312" w:eastAsia="仿宋_GB2312" w:hint="eastAsia"/>
          <w:sz w:val="30"/>
          <w:szCs w:val="30"/>
        </w:rPr>
        <w:t>”</w:t>
      </w:r>
      <w:r>
        <w:rPr>
          <w:rFonts w:ascii="仿宋_GB2312" w:eastAsia="仿宋_GB2312" w:hint="eastAsia"/>
          <w:sz w:val="30"/>
          <w:szCs w:val="30"/>
        </w:rPr>
        <w:t>经费支出预算为</w:t>
      </w:r>
      <w:r>
        <w:rPr>
          <w:rFonts w:ascii="仿宋_GB2312" w:eastAsia="仿宋_GB2312" w:hint="eastAsia"/>
          <w:sz w:val="30"/>
          <w:szCs w:val="30"/>
          <w:lang w:val="en-US" w:eastAsia="zh-CN"/>
        </w:rPr>
        <w:t>9.5</w:t>
      </w:r>
      <w:r>
        <w:rPr>
          <w:rFonts w:ascii="仿宋_GB2312" w:eastAsia="仿宋_GB2312" w:hint="eastAsia"/>
          <w:sz w:val="30"/>
          <w:szCs w:val="30"/>
        </w:rPr>
        <w:t>万元，支出决算为</w:t>
      </w:r>
      <w:r>
        <w:rPr>
          <w:rFonts w:ascii="仿宋_GB2312" w:eastAsia="仿宋_GB2312" w:hint="eastAsia"/>
          <w:sz w:val="30"/>
          <w:szCs w:val="30"/>
          <w:lang w:val="en-US" w:eastAsia="zh-CN"/>
        </w:rPr>
        <w:t>6.04</w:t>
      </w:r>
      <w:r>
        <w:rPr>
          <w:rFonts w:ascii="仿宋_GB2312" w:eastAsia="仿宋_GB2312" w:hint="eastAsia"/>
          <w:sz w:val="30"/>
          <w:szCs w:val="30"/>
        </w:rPr>
        <w:t>万元，完成预算的</w:t>
      </w:r>
      <w:r>
        <w:rPr>
          <w:rFonts w:ascii="仿宋_GB2312" w:eastAsia="仿宋_GB2312" w:hint="eastAsia"/>
          <w:sz w:val="30"/>
          <w:szCs w:val="30"/>
          <w:lang w:val="en-US" w:eastAsia="zh-CN"/>
        </w:rPr>
        <w:t>64</w:t>
      </w:r>
      <w:r>
        <w:rPr>
          <w:rFonts w:ascii="仿宋_GB2312" w:eastAsia="仿宋_GB2312" w:hint="eastAsia"/>
          <w:sz w:val="30"/>
          <w:szCs w:val="30"/>
        </w:rPr>
        <w:t>%。其中：因公出国（境）费支出决算为</w:t>
      </w:r>
      <w:r>
        <w:rPr>
          <w:rFonts w:ascii="仿宋_GB2312" w:eastAsia="仿宋_GB2312" w:hint="eastAsia"/>
          <w:sz w:val="30"/>
          <w:szCs w:val="30"/>
          <w:lang w:val="en-US" w:eastAsia="zh-CN"/>
        </w:rPr>
        <w:t>0</w:t>
      </w:r>
      <w:r>
        <w:rPr>
          <w:rFonts w:ascii="仿宋_GB2312" w:eastAsia="仿宋_GB2312" w:hint="eastAsia"/>
          <w:sz w:val="30"/>
          <w:szCs w:val="30"/>
        </w:rPr>
        <w:t>万元，完成预算的</w:t>
      </w:r>
      <w:r>
        <w:rPr>
          <w:rFonts w:ascii="仿宋_GB2312" w:eastAsia="仿宋_GB2312" w:hint="eastAsia"/>
          <w:sz w:val="30"/>
          <w:szCs w:val="30"/>
          <w:lang w:val="en-US" w:eastAsia="zh-CN"/>
        </w:rPr>
        <w:t>0</w:t>
      </w:r>
      <w:r>
        <w:rPr>
          <w:rFonts w:ascii="仿宋_GB2312" w:eastAsia="仿宋_GB2312" w:hint="eastAsia"/>
          <w:sz w:val="30"/>
          <w:szCs w:val="30"/>
        </w:rPr>
        <w:t>%；公务用车购置及运行费支出决算为</w:t>
      </w:r>
      <w:r>
        <w:rPr>
          <w:rFonts w:ascii="仿宋_GB2312" w:eastAsia="仿宋_GB2312" w:hint="eastAsia"/>
          <w:sz w:val="30"/>
          <w:szCs w:val="30"/>
          <w:lang w:val="en-US" w:eastAsia="zh-CN"/>
        </w:rPr>
        <w:t>5.97</w:t>
      </w:r>
      <w:r>
        <w:rPr>
          <w:rFonts w:ascii="仿宋_GB2312" w:eastAsia="仿宋_GB2312" w:hint="eastAsia"/>
          <w:sz w:val="30"/>
          <w:szCs w:val="30"/>
        </w:rPr>
        <w:t>万元，完成预算的</w:t>
      </w:r>
      <w:r>
        <w:rPr>
          <w:rFonts w:ascii="仿宋_GB2312" w:eastAsia="仿宋_GB2312" w:hint="eastAsia"/>
          <w:sz w:val="30"/>
          <w:szCs w:val="30"/>
          <w:lang w:val="en-US" w:eastAsia="zh-CN"/>
        </w:rPr>
        <w:t>63</w:t>
      </w:r>
      <w:r>
        <w:rPr>
          <w:rFonts w:ascii="仿宋_GB2312" w:eastAsia="仿宋_GB2312" w:hint="eastAsia"/>
          <w:sz w:val="30"/>
          <w:szCs w:val="30"/>
        </w:rPr>
        <w:t>%；公务接待费支出决算为</w:t>
      </w:r>
      <w:r>
        <w:rPr>
          <w:rFonts w:ascii="仿宋_GB2312" w:eastAsia="仿宋_GB2312" w:hint="eastAsia"/>
          <w:sz w:val="30"/>
          <w:szCs w:val="30"/>
          <w:lang w:val="en-US" w:eastAsia="zh-CN"/>
        </w:rPr>
        <w:t>0.07</w:t>
      </w:r>
      <w:r>
        <w:rPr>
          <w:rFonts w:ascii="仿宋_GB2312" w:eastAsia="仿宋_GB2312" w:hint="eastAsia"/>
          <w:sz w:val="30"/>
          <w:szCs w:val="30"/>
        </w:rPr>
        <w:t>万元，完成预算的</w:t>
      </w:r>
      <w:r>
        <w:rPr>
          <w:rFonts w:ascii="仿宋_GB2312" w:eastAsia="仿宋_GB2312" w:hint="eastAsia"/>
          <w:sz w:val="30"/>
          <w:szCs w:val="30"/>
          <w:lang w:val="en-US" w:eastAsia="zh-CN"/>
        </w:rPr>
        <w:t>1</w:t>
      </w:r>
      <w:r>
        <w:rPr>
          <w:rFonts w:ascii="仿宋_GB2312" w:eastAsia="仿宋_GB2312" w:hint="eastAsia"/>
          <w:sz w:val="30"/>
          <w:szCs w:val="30"/>
        </w:rPr>
        <w:t>%。</w:t>
      </w:r>
      <w:r>
        <w:rPr>
          <w:rFonts w:ascii="仿宋_GB2312" w:eastAsia="仿宋_GB2312" w:hint="eastAsia"/>
          <w:sz w:val="30"/>
          <w:szCs w:val="30"/>
          <w:lang w:val="en-US" w:eastAsia="zh-CN"/>
        </w:rPr>
        <w:t>2018</w:t>
      </w:r>
      <w:r>
        <w:rPr>
          <w:rFonts w:ascii="仿宋_GB2312" w:eastAsia="仿宋_GB2312" w:hint="eastAsia"/>
          <w:sz w:val="30"/>
          <w:szCs w:val="30"/>
        </w:rPr>
        <w:t>年度一般公共预算财政拨款</w:t>
      </w:r>
      <w:r>
        <w:rPr>
          <w:rFonts w:ascii="仿宋_GB2312" w:eastAsia="仿宋_GB2312" w:hint="eastAsia"/>
          <w:sz w:val="30"/>
          <w:szCs w:val="30"/>
        </w:rPr>
        <w:t>“</w:t>
      </w:r>
      <w:r>
        <w:rPr>
          <w:rFonts w:ascii="仿宋_GB2312" w:eastAsia="仿宋_GB2312" w:hint="eastAsia"/>
          <w:sz w:val="30"/>
          <w:szCs w:val="30"/>
        </w:rPr>
        <w:t>三公</w:t>
      </w:r>
      <w:r>
        <w:rPr>
          <w:rFonts w:ascii="仿宋_GB2312" w:eastAsia="仿宋_GB2312" w:hint="eastAsia"/>
          <w:sz w:val="30"/>
          <w:szCs w:val="30"/>
        </w:rPr>
        <w:t>”</w:t>
      </w:r>
      <w:r>
        <w:rPr>
          <w:rFonts w:ascii="仿宋_GB2312" w:eastAsia="仿宋_GB2312" w:hint="eastAsia"/>
          <w:sz w:val="30"/>
          <w:szCs w:val="30"/>
        </w:rPr>
        <w:t>经费支出决算数小于预算数的主要原因是</w:t>
      </w:r>
      <w:r>
        <w:rPr>
          <w:rFonts w:ascii="仿宋_GB2312" w:eastAsia="仿宋_GB2312" w:hint="eastAsia"/>
          <w:sz w:val="30"/>
          <w:szCs w:val="30"/>
          <w:lang w:eastAsia="zh-CN"/>
        </w:rPr>
        <w:t>州中心</w:t>
      </w:r>
      <w:r>
        <w:rPr>
          <w:rFonts w:ascii="仿宋_GB2312" w:eastAsia="仿宋_GB2312" w:hint="eastAsia"/>
          <w:sz w:val="30"/>
          <w:szCs w:val="30"/>
        </w:rPr>
        <w:t>贯彻落实中央八项规定的要求并合理控制</w:t>
      </w:r>
      <w:r>
        <w:rPr>
          <w:rFonts w:ascii="仿宋_GB2312" w:eastAsia="仿宋_GB2312" w:hint="eastAsia"/>
          <w:sz w:val="30"/>
          <w:szCs w:val="30"/>
        </w:rPr>
        <w:t>“</w:t>
      </w:r>
      <w:r>
        <w:rPr>
          <w:rFonts w:ascii="仿宋_GB2312" w:eastAsia="仿宋_GB2312" w:hint="eastAsia"/>
          <w:sz w:val="30"/>
          <w:szCs w:val="30"/>
        </w:rPr>
        <w:t>三公</w:t>
      </w:r>
      <w:r>
        <w:rPr>
          <w:rFonts w:ascii="仿宋_GB2312" w:eastAsia="仿宋_GB2312" w:hint="eastAsia"/>
          <w:sz w:val="30"/>
          <w:szCs w:val="30"/>
        </w:rPr>
        <w:t>”</w:t>
      </w:r>
      <w:r>
        <w:rPr>
          <w:rFonts w:ascii="仿宋_GB2312" w:eastAsia="仿宋_GB2312" w:hint="eastAsia"/>
          <w:sz w:val="30"/>
          <w:szCs w:val="30"/>
        </w:rPr>
        <w:t>经费开支。</w:t>
      </w:r>
    </w:p>
    <w:p>
      <w:pPr>
        <w:widowControl/>
        <w:snapToGrid w:val="0"/>
        <w:spacing w:before="100" w:after="100" w:line="360" w:lineRule="auto"/>
        <w:ind w:firstLine="600" w:firstLineChars="200"/>
        <w:jc w:val="left"/>
        <w:rPr>
          <w:rFonts w:ascii="仿宋_GB2312" w:eastAsia="仿宋_GB2312" w:hint="eastAsia"/>
          <w:sz w:val="30"/>
          <w:szCs w:val="30"/>
        </w:rPr>
      </w:pPr>
      <w:r>
        <w:rPr>
          <w:rFonts w:ascii="仿宋_GB2312" w:eastAsia="仿宋_GB2312" w:hint="eastAsia"/>
          <w:sz w:val="30"/>
          <w:szCs w:val="30"/>
          <w:lang w:val="en-US" w:eastAsia="zh-CN"/>
        </w:rPr>
        <w:t>2018</w:t>
      </w:r>
      <w:r>
        <w:rPr>
          <w:rFonts w:ascii="仿宋_GB2312" w:eastAsia="仿宋_GB2312" w:hint="eastAsia"/>
          <w:sz w:val="30"/>
          <w:szCs w:val="30"/>
        </w:rPr>
        <w:t>年度一般公共预算财政拨款</w:t>
      </w:r>
      <w:r>
        <w:rPr>
          <w:rFonts w:ascii="仿宋_GB2312" w:eastAsia="仿宋_GB2312" w:hint="eastAsia"/>
          <w:sz w:val="30"/>
          <w:szCs w:val="30"/>
        </w:rPr>
        <w:t>“</w:t>
      </w:r>
      <w:r>
        <w:rPr>
          <w:rFonts w:ascii="仿宋_GB2312" w:eastAsia="仿宋_GB2312" w:hint="eastAsia"/>
          <w:sz w:val="30"/>
          <w:szCs w:val="30"/>
        </w:rPr>
        <w:t>三公</w:t>
      </w:r>
      <w:r>
        <w:rPr>
          <w:rFonts w:ascii="仿宋_GB2312" w:eastAsia="仿宋_GB2312" w:hint="eastAsia"/>
          <w:sz w:val="30"/>
          <w:szCs w:val="30"/>
        </w:rPr>
        <w:t>”</w:t>
      </w:r>
      <w:r>
        <w:rPr>
          <w:rFonts w:ascii="仿宋_GB2312" w:eastAsia="仿宋_GB2312" w:hint="eastAsia"/>
          <w:sz w:val="30"/>
          <w:szCs w:val="30"/>
        </w:rPr>
        <w:t>经费支出决算数比</w:t>
      </w:r>
      <w:r>
        <w:rPr>
          <w:rFonts w:ascii="仿宋_GB2312" w:eastAsia="仿宋_GB2312" w:hint="eastAsia"/>
          <w:sz w:val="30"/>
          <w:szCs w:val="30"/>
          <w:lang w:val="en-US" w:eastAsia="zh-CN"/>
        </w:rPr>
        <w:t>2017</w:t>
      </w:r>
      <w:r>
        <w:rPr>
          <w:rFonts w:ascii="仿宋_GB2312" w:eastAsia="仿宋_GB2312" w:hint="eastAsia"/>
          <w:sz w:val="30"/>
          <w:szCs w:val="30"/>
        </w:rPr>
        <w:t>年增加</w:t>
      </w:r>
      <w:r>
        <w:rPr>
          <w:rFonts w:ascii="仿宋_GB2312" w:eastAsia="仿宋_GB2312" w:hint="eastAsia"/>
          <w:sz w:val="30"/>
          <w:szCs w:val="30"/>
          <w:lang w:val="en-US" w:eastAsia="zh-CN"/>
        </w:rPr>
        <w:t>3.07</w:t>
      </w:r>
      <w:r>
        <w:rPr>
          <w:rFonts w:ascii="仿宋_GB2312" w:eastAsia="仿宋_GB2312" w:hint="eastAsia"/>
          <w:sz w:val="30"/>
          <w:szCs w:val="30"/>
        </w:rPr>
        <w:t>万元，增长</w:t>
      </w:r>
      <w:r>
        <w:rPr>
          <w:rFonts w:ascii="仿宋_GB2312" w:eastAsia="仿宋_GB2312" w:hint="eastAsia"/>
          <w:sz w:val="30"/>
          <w:szCs w:val="30"/>
          <w:lang w:val="en-US" w:eastAsia="zh-CN"/>
        </w:rPr>
        <w:t>200</w:t>
      </w:r>
      <w:r>
        <w:rPr>
          <w:rFonts w:ascii="仿宋_GB2312" w:eastAsia="仿宋_GB2312" w:hint="eastAsia"/>
          <w:sz w:val="30"/>
          <w:szCs w:val="30"/>
        </w:rPr>
        <w:t>%。其中：公务用车购置及运行费支出决算增加</w:t>
      </w:r>
      <w:r>
        <w:rPr>
          <w:rFonts w:ascii="仿宋_GB2312" w:eastAsia="仿宋_GB2312" w:hint="eastAsia"/>
          <w:sz w:val="30"/>
          <w:szCs w:val="30"/>
          <w:lang w:val="en-US" w:eastAsia="zh-CN"/>
        </w:rPr>
        <w:t>4.00</w:t>
      </w:r>
      <w:r>
        <w:rPr>
          <w:rFonts w:ascii="仿宋_GB2312" w:eastAsia="仿宋_GB2312" w:hint="eastAsia"/>
          <w:sz w:val="30"/>
          <w:szCs w:val="30"/>
        </w:rPr>
        <w:t>万元，增长</w:t>
      </w:r>
      <w:r>
        <w:rPr>
          <w:rFonts w:ascii="仿宋_GB2312" w:eastAsia="仿宋_GB2312" w:hint="eastAsia"/>
          <w:sz w:val="30"/>
          <w:szCs w:val="30"/>
          <w:lang w:val="en-US" w:eastAsia="zh-CN"/>
        </w:rPr>
        <w:t>300</w:t>
      </w:r>
      <w:r>
        <w:rPr>
          <w:rFonts w:ascii="仿宋_GB2312" w:eastAsia="仿宋_GB2312" w:hint="eastAsia"/>
          <w:sz w:val="30"/>
          <w:szCs w:val="30"/>
        </w:rPr>
        <w:t>%；公务接待费支出决算减少</w:t>
      </w:r>
      <w:r>
        <w:rPr>
          <w:rFonts w:ascii="仿宋_GB2312" w:eastAsia="仿宋_GB2312" w:hint="eastAsia"/>
          <w:sz w:val="30"/>
          <w:szCs w:val="30"/>
          <w:lang w:val="en-US" w:eastAsia="zh-CN"/>
        </w:rPr>
        <w:t>0.92</w:t>
      </w:r>
      <w:r>
        <w:rPr>
          <w:rFonts w:ascii="仿宋_GB2312" w:eastAsia="仿宋_GB2312" w:hint="eastAsia"/>
          <w:sz w:val="30"/>
          <w:szCs w:val="30"/>
        </w:rPr>
        <w:t>万元，下降</w:t>
      </w:r>
      <w:r>
        <w:rPr>
          <w:rFonts w:ascii="仿宋_GB2312" w:eastAsia="仿宋_GB2312" w:hint="eastAsia"/>
          <w:sz w:val="30"/>
          <w:szCs w:val="30"/>
          <w:lang w:val="en-US" w:eastAsia="zh-CN"/>
        </w:rPr>
        <w:t>140</w:t>
      </w:r>
      <w:r>
        <w:rPr>
          <w:rFonts w:ascii="仿宋_GB2312" w:eastAsia="仿宋_GB2312" w:hint="eastAsia"/>
          <w:sz w:val="30"/>
          <w:szCs w:val="30"/>
        </w:rPr>
        <w:t>%。</w:t>
      </w:r>
      <w:r>
        <w:rPr>
          <w:rFonts w:ascii="仿宋_GB2312" w:eastAsia="仿宋_GB2312" w:hint="eastAsia"/>
          <w:sz w:val="30"/>
          <w:szCs w:val="30"/>
          <w:lang w:val="en-US" w:eastAsia="zh-CN"/>
        </w:rPr>
        <w:t>2018</w:t>
      </w:r>
      <w:r>
        <w:rPr>
          <w:rFonts w:ascii="仿宋_GB2312" w:eastAsia="仿宋_GB2312" w:hint="eastAsia"/>
          <w:sz w:val="30"/>
          <w:szCs w:val="30"/>
        </w:rPr>
        <w:t>年度一般公共预算财政拨款</w:t>
      </w:r>
      <w:r>
        <w:rPr>
          <w:rFonts w:ascii="仿宋_GB2312" w:eastAsia="仿宋_GB2312" w:hint="eastAsia"/>
          <w:sz w:val="30"/>
          <w:szCs w:val="30"/>
        </w:rPr>
        <w:t>“</w:t>
      </w:r>
      <w:r>
        <w:rPr>
          <w:rFonts w:ascii="仿宋_GB2312" w:eastAsia="仿宋_GB2312" w:hint="eastAsia"/>
          <w:sz w:val="30"/>
          <w:szCs w:val="30"/>
        </w:rPr>
        <w:t>三公</w:t>
      </w:r>
      <w:r>
        <w:rPr>
          <w:rFonts w:ascii="仿宋_GB2312" w:eastAsia="仿宋_GB2312" w:hint="eastAsia"/>
          <w:sz w:val="30"/>
          <w:szCs w:val="30"/>
        </w:rPr>
        <w:t>”</w:t>
      </w:r>
      <w:r>
        <w:rPr>
          <w:rFonts w:ascii="仿宋_GB2312" w:eastAsia="仿宋_GB2312" w:hint="eastAsia"/>
          <w:sz w:val="30"/>
          <w:szCs w:val="30"/>
        </w:rPr>
        <w:t>经费支出决算增加的主要原因是2018年到维西新华村扶贫点开展遍访工作次数增多，需对公务用车运不定期的进行维修和保养，从而造成了公务用车运行维护费增加。</w:t>
      </w:r>
    </w:p>
    <w:p>
      <w:pPr>
        <w:widowControl/>
        <w:snapToGrid w:val="0"/>
        <w:spacing w:before="100" w:after="100" w:line="360" w:lineRule="auto"/>
        <w:ind w:firstLine="600" w:firstLineChars="200"/>
        <w:jc w:val="left"/>
        <w:rPr>
          <w:rFonts w:ascii="楷体" w:eastAsia="楷体" w:hAnsi="楷体" w:hint="eastAsia"/>
          <w:sz w:val="30"/>
          <w:szCs w:val="30"/>
        </w:rPr>
      </w:pPr>
      <w:r>
        <w:rPr>
          <w:rFonts w:ascii="楷体" w:eastAsia="楷体" w:hAnsi="楷体" w:hint="eastAsia"/>
          <w:sz w:val="30"/>
          <w:szCs w:val="30"/>
        </w:rPr>
        <w:t>(二)</w:t>
      </w:r>
      <w:r>
        <w:rPr>
          <w:rFonts w:ascii="仿宋_GB2312" w:eastAsia="仿宋_GB2312" w:hint="eastAsia"/>
          <w:sz w:val="30"/>
          <w:szCs w:val="30"/>
        </w:rPr>
        <w:t xml:space="preserve"> </w:t>
      </w:r>
      <w:r>
        <w:rPr>
          <w:rFonts w:ascii="楷体" w:eastAsia="楷体" w:hAnsi="楷体" w:hint="eastAsia"/>
          <w:sz w:val="30"/>
          <w:szCs w:val="30"/>
        </w:rPr>
        <w:t>一般公共预算财政拨款</w:t>
      </w:r>
      <w:r>
        <w:rPr>
          <w:rFonts w:ascii="楷体" w:eastAsia="楷体" w:hAnsi="楷体" w:hint="eastAsia"/>
          <w:sz w:val="30"/>
          <w:szCs w:val="30"/>
        </w:rPr>
        <w:t>“</w:t>
      </w:r>
      <w:r>
        <w:rPr>
          <w:rFonts w:ascii="楷体" w:eastAsia="楷体" w:hAnsi="楷体" w:hint="eastAsia"/>
          <w:sz w:val="30"/>
          <w:szCs w:val="30"/>
        </w:rPr>
        <w:t>三公</w:t>
      </w:r>
      <w:r>
        <w:rPr>
          <w:rFonts w:ascii="楷体" w:eastAsia="楷体" w:hAnsi="楷体" w:hint="eastAsia"/>
          <w:sz w:val="30"/>
          <w:szCs w:val="30"/>
        </w:rPr>
        <w:t>”</w:t>
      </w:r>
      <w:r>
        <w:rPr>
          <w:rFonts w:ascii="楷体" w:eastAsia="楷体" w:hAnsi="楷体" w:hint="eastAsia"/>
          <w:sz w:val="30"/>
          <w:szCs w:val="30"/>
        </w:rPr>
        <w:t>经费支出决算具体情况</w:t>
      </w:r>
    </w:p>
    <w:p>
      <w:pPr>
        <w:widowControl/>
        <w:snapToGrid w:val="0"/>
        <w:spacing w:before="100" w:after="100" w:line="360" w:lineRule="auto"/>
        <w:ind w:firstLine="600" w:firstLineChars="200"/>
        <w:jc w:val="left"/>
        <w:rPr>
          <w:rFonts w:ascii="仿宋_GB2312" w:eastAsia="仿宋_GB2312" w:hint="eastAsia"/>
          <w:sz w:val="30"/>
          <w:szCs w:val="30"/>
        </w:rPr>
      </w:pPr>
      <w:r>
        <w:rPr>
          <w:rFonts w:ascii="仿宋_GB2312" w:eastAsia="仿宋_GB2312" w:hint="eastAsia"/>
          <w:sz w:val="30"/>
          <w:szCs w:val="30"/>
          <w:lang w:val="en-US" w:eastAsia="zh-CN"/>
        </w:rPr>
        <w:t>2018</w:t>
      </w:r>
      <w:r>
        <w:rPr>
          <w:rFonts w:ascii="仿宋_GB2312" w:eastAsia="仿宋_GB2312" w:hint="eastAsia"/>
          <w:sz w:val="30"/>
          <w:szCs w:val="30"/>
        </w:rPr>
        <w:t>年度一般公共预算财政拨款</w:t>
      </w:r>
      <w:r>
        <w:rPr>
          <w:rFonts w:ascii="仿宋_GB2312" w:eastAsia="仿宋_GB2312" w:hint="eastAsia"/>
          <w:sz w:val="30"/>
          <w:szCs w:val="30"/>
        </w:rPr>
        <w:t>“</w:t>
      </w:r>
      <w:r>
        <w:rPr>
          <w:rFonts w:ascii="仿宋_GB2312" w:eastAsia="仿宋_GB2312" w:hint="eastAsia"/>
          <w:sz w:val="30"/>
          <w:szCs w:val="30"/>
        </w:rPr>
        <w:t>三公</w:t>
      </w:r>
      <w:r>
        <w:rPr>
          <w:rFonts w:ascii="仿宋_GB2312" w:eastAsia="仿宋_GB2312" w:hint="eastAsia"/>
          <w:sz w:val="30"/>
          <w:szCs w:val="30"/>
        </w:rPr>
        <w:t>”</w:t>
      </w:r>
      <w:r>
        <w:rPr>
          <w:rFonts w:ascii="仿宋_GB2312" w:eastAsia="仿宋_GB2312" w:hint="eastAsia"/>
          <w:sz w:val="30"/>
          <w:szCs w:val="30"/>
        </w:rPr>
        <w:t>经费支出决算中，因公出国（境）费支出</w:t>
      </w:r>
      <w:r>
        <w:rPr>
          <w:rFonts w:ascii="仿宋_GB2312" w:eastAsia="仿宋_GB2312" w:hint="eastAsia"/>
          <w:sz w:val="30"/>
          <w:szCs w:val="30"/>
          <w:lang w:val="en-US" w:eastAsia="zh-CN"/>
        </w:rPr>
        <w:t>0</w:t>
      </w:r>
      <w:r>
        <w:rPr>
          <w:rFonts w:ascii="仿宋_GB2312" w:eastAsia="仿宋_GB2312" w:hint="eastAsia"/>
          <w:sz w:val="30"/>
          <w:szCs w:val="30"/>
        </w:rPr>
        <w:t>万元，占</w:t>
      </w:r>
      <w:r>
        <w:rPr>
          <w:rFonts w:ascii="仿宋_GB2312" w:eastAsia="仿宋_GB2312" w:hint="eastAsia"/>
          <w:sz w:val="30"/>
          <w:szCs w:val="30"/>
          <w:lang w:val="en-US" w:eastAsia="zh-CN"/>
        </w:rPr>
        <w:t>0</w:t>
      </w:r>
      <w:r>
        <w:rPr>
          <w:rFonts w:ascii="仿宋_GB2312" w:eastAsia="仿宋_GB2312" w:hint="eastAsia"/>
          <w:sz w:val="30"/>
          <w:szCs w:val="30"/>
        </w:rPr>
        <w:t>%；公务用车购置及运行维护费支出</w:t>
      </w:r>
      <w:r>
        <w:rPr>
          <w:rFonts w:ascii="仿宋_GB2312" w:eastAsia="仿宋_GB2312" w:hint="eastAsia"/>
          <w:sz w:val="30"/>
          <w:szCs w:val="30"/>
          <w:lang w:val="en-US" w:eastAsia="zh-CN"/>
        </w:rPr>
        <w:t>5.97</w:t>
      </w:r>
      <w:r>
        <w:rPr>
          <w:rFonts w:ascii="仿宋_GB2312" w:eastAsia="仿宋_GB2312" w:hint="eastAsia"/>
          <w:sz w:val="30"/>
          <w:szCs w:val="30"/>
        </w:rPr>
        <w:t>万元，占</w:t>
      </w:r>
      <w:r>
        <w:rPr>
          <w:rFonts w:ascii="仿宋_GB2312" w:eastAsia="仿宋_GB2312" w:hint="eastAsia"/>
          <w:sz w:val="30"/>
          <w:szCs w:val="30"/>
          <w:lang w:val="en-US" w:eastAsia="zh-CN"/>
        </w:rPr>
        <w:t>99</w:t>
      </w:r>
      <w:r>
        <w:rPr>
          <w:rFonts w:ascii="仿宋_GB2312" w:eastAsia="仿宋_GB2312" w:hint="eastAsia"/>
          <w:sz w:val="30"/>
          <w:szCs w:val="30"/>
        </w:rPr>
        <w:t>%；公务接待费支出</w:t>
      </w:r>
      <w:r>
        <w:rPr>
          <w:rFonts w:ascii="仿宋_GB2312" w:eastAsia="仿宋_GB2312" w:hint="eastAsia"/>
          <w:sz w:val="30"/>
          <w:szCs w:val="30"/>
          <w:lang w:val="en-US" w:eastAsia="zh-CN"/>
        </w:rPr>
        <w:t>0.07</w:t>
      </w:r>
      <w:r>
        <w:rPr>
          <w:rFonts w:ascii="仿宋_GB2312" w:eastAsia="仿宋_GB2312" w:hint="eastAsia"/>
          <w:sz w:val="30"/>
          <w:szCs w:val="30"/>
        </w:rPr>
        <w:t>万元，占</w:t>
      </w:r>
      <w:r>
        <w:rPr>
          <w:rFonts w:ascii="仿宋_GB2312" w:eastAsia="仿宋_GB2312" w:hint="eastAsia"/>
          <w:sz w:val="30"/>
          <w:szCs w:val="30"/>
          <w:lang w:val="en-US" w:eastAsia="zh-CN"/>
        </w:rPr>
        <w:t>1</w:t>
      </w:r>
      <w:r>
        <w:rPr>
          <w:rFonts w:ascii="仿宋_GB2312" w:eastAsia="仿宋_GB2312" w:hint="eastAsia"/>
          <w:sz w:val="30"/>
          <w:szCs w:val="30"/>
        </w:rPr>
        <w:t>%。具体情况如下：</w:t>
      </w:r>
    </w:p>
    <w:p>
      <w:pPr>
        <w:widowControl/>
        <w:snapToGrid w:val="0"/>
        <w:spacing w:before="100" w:after="100" w:line="360" w:lineRule="auto"/>
        <w:ind w:firstLine="600" w:firstLineChars="200"/>
        <w:jc w:val="left"/>
        <w:rPr>
          <w:rFonts w:ascii="仿宋_GB2312" w:eastAsia="仿宋_GB2312" w:hint="eastAsia"/>
          <w:sz w:val="30"/>
          <w:szCs w:val="30"/>
        </w:rPr>
      </w:pPr>
      <w:r>
        <w:rPr>
          <w:rFonts w:ascii="仿宋_GB2312" w:eastAsia="仿宋_GB2312" w:hint="eastAsia"/>
          <w:b/>
          <w:sz w:val="30"/>
          <w:szCs w:val="30"/>
        </w:rPr>
        <w:t>1.因公出国（境）费</w:t>
      </w:r>
      <w:r>
        <w:rPr>
          <w:rFonts w:ascii="仿宋_GB2312" w:eastAsia="仿宋_GB2312" w:hint="eastAsia"/>
          <w:sz w:val="30"/>
          <w:szCs w:val="30"/>
        </w:rPr>
        <w:t>支出</w:t>
      </w:r>
      <w:r>
        <w:rPr>
          <w:rFonts w:ascii="仿宋_GB2312" w:eastAsia="仿宋_GB2312" w:hint="eastAsia"/>
          <w:sz w:val="30"/>
          <w:szCs w:val="30"/>
          <w:lang w:val="en-US" w:eastAsia="zh-CN"/>
        </w:rPr>
        <w:t>0</w:t>
      </w:r>
      <w:r>
        <w:rPr>
          <w:rFonts w:ascii="仿宋_GB2312" w:eastAsia="仿宋_GB2312" w:hint="eastAsia"/>
          <w:sz w:val="30"/>
          <w:szCs w:val="30"/>
        </w:rPr>
        <w:t>万元，共安排因公出国（境）团组</w:t>
      </w:r>
      <w:r>
        <w:rPr>
          <w:rFonts w:ascii="仿宋_GB2312" w:eastAsia="仿宋_GB2312" w:hint="eastAsia"/>
          <w:sz w:val="30"/>
          <w:szCs w:val="30"/>
          <w:lang w:val="en-US" w:eastAsia="zh-CN"/>
        </w:rPr>
        <w:t>0</w:t>
      </w:r>
      <w:r>
        <w:rPr>
          <w:rFonts w:ascii="仿宋_GB2312" w:eastAsia="仿宋_GB2312" w:hint="eastAsia"/>
          <w:sz w:val="30"/>
          <w:szCs w:val="30"/>
        </w:rPr>
        <w:t>个，累计</w:t>
      </w:r>
      <w:r>
        <w:rPr>
          <w:rFonts w:ascii="仿宋_GB2312" w:eastAsia="仿宋_GB2312" w:hint="eastAsia"/>
          <w:sz w:val="30"/>
          <w:szCs w:val="30"/>
          <w:lang w:val="en-US" w:eastAsia="zh-CN"/>
        </w:rPr>
        <w:t>0</w:t>
      </w:r>
      <w:r>
        <w:rPr>
          <w:rFonts w:ascii="仿宋_GB2312" w:eastAsia="仿宋_GB2312" w:hint="eastAsia"/>
          <w:sz w:val="30"/>
          <w:szCs w:val="30"/>
        </w:rPr>
        <w:t>人次。开展内容包括：</w:t>
      </w:r>
      <w:r>
        <w:rPr>
          <w:rFonts w:ascii="仿宋_GB2312" w:eastAsia="仿宋_GB2312" w:hint="eastAsia"/>
          <w:sz w:val="30"/>
          <w:szCs w:val="30"/>
          <w:lang w:eastAsia="zh-CN"/>
        </w:rPr>
        <w:t>无</w:t>
      </w:r>
      <w:r>
        <w:rPr>
          <w:rFonts w:ascii="仿宋_GB2312" w:eastAsia="仿宋_GB2312" w:hint="eastAsia"/>
          <w:sz w:val="30"/>
          <w:szCs w:val="30"/>
        </w:rPr>
        <w:t>。</w:t>
      </w:r>
    </w:p>
    <w:p>
      <w:pPr>
        <w:widowControl/>
        <w:snapToGrid w:val="0"/>
        <w:spacing w:before="100" w:after="100" w:line="360" w:lineRule="auto"/>
        <w:ind w:firstLine="600" w:firstLineChars="200"/>
        <w:jc w:val="left"/>
        <w:rPr>
          <w:rFonts w:ascii="仿宋_GB2312" w:eastAsia="仿宋_GB2312" w:hint="eastAsia"/>
          <w:sz w:val="30"/>
          <w:szCs w:val="30"/>
        </w:rPr>
      </w:pPr>
      <w:r>
        <w:rPr>
          <w:rFonts w:ascii="仿宋_GB2312" w:eastAsia="仿宋_GB2312" w:hint="eastAsia"/>
          <w:b/>
          <w:sz w:val="30"/>
          <w:szCs w:val="30"/>
        </w:rPr>
        <w:t>2. 公务用车购置及运行维护费</w:t>
      </w:r>
      <w:r>
        <w:rPr>
          <w:rFonts w:ascii="仿宋_GB2312" w:eastAsia="仿宋_GB2312" w:hint="eastAsia"/>
          <w:sz w:val="30"/>
          <w:szCs w:val="30"/>
        </w:rPr>
        <w:t>支出</w:t>
      </w:r>
      <w:r>
        <w:rPr>
          <w:rFonts w:ascii="仿宋_GB2312" w:eastAsia="仿宋_GB2312" w:hint="eastAsia"/>
          <w:sz w:val="30"/>
          <w:szCs w:val="30"/>
          <w:lang w:val="en-US" w:eastAsia="zh-CN"/>
        </w:rPr>
        <w:t>5.97</w:t>
      </w:r>
      <w:r>
        <w:rPr>
          <w:rFonts w:ascii="仿宋_GB2312" w:eastAsia="仿宋_GB2312" w:hint="eastAsia"/>
          <w:sz w:val="30"/>
          <w:szCs w:val="30"/>
        </w:rPr>
        <w:t>万元。其中：</w:t>
      </w:r>
    </w:p>
    <w:p>
      <w:pPr>
        <w:widowControl/>
        <w:snapToGrid w:val="0"/>
        <w:spacing w:before="100" w:after="100" w:line="360" w:lineRule="auto"/>
        <w:ind w:firstLine="600" w:firstLineChars="200"/>
        <w:jc w:val="left"/>
        <w:rPr>
          <w:rFonts w:ascii="仿宋_GB2312" w:eastAsia="仿宋_GB2312" w:hint="eastAsia"/>
          <w:sz w:val="30"/>
          <w:szCs w:val="30"/>
        </w:rPr>
      </w:pPr>
      <w:r>
        <w:rPr>
          <w:rFonts w:ascii="仿宋_GB2312" w:eastAsia="仿宋_GB2312" w:hint="eastAsia"/>
          <w:b/>
          <w:sz w:val="30"/>
          <w:szCs w:val="30"/>
        </w:rPr>
        <w:t>公务用车购置</w:t>
      </w:r>
      <w:r>
        <w:rPr>
          <w:rFonts w:ascii="仿宋_GB2312" w:eastAsia="仿宋_GB2312" w:hint="eastAsia"/>
          <w:sz w:val="30"/>
          <w:szCs w:val="30"/>
        </w:rPr>
        <w:t>支出</w:t>
      </w:r>
      <w:r>
        <w:rPr>
          <w:rFonts w:ascii="仿宋_GB2312" w:eastAsia="仿宋_GB2312" w:hint="eastAsia"/>
          <w:sz w:val="30"/>
          <w:szCs w:val="30"/>
          <w:lang w:val="en-US" w:eastAsia="zh-CN"/>
        </w:rPr>
        <w:t>0</w:t>
      </w:r>
      <w:r>
        <w:rPr>
          <w:rFonts w:ascii="仿宋_GB2312" w:eastAsia="仿宋_GB2312" w:hint="eastAsia"/>
          <w:sz w:val="30"/>
          <w:szCs w:val="30"/>
        </w:rPr>
        <w:t>万元，购置车辆</w:t>
      </w:r>
      <w:r>
        <w:rPr>
          <w:rFonts w:ascii="仿宋_GB2312" w:eastAsia="仿宋_GB2312" w:hint="eastAsia"/>
          <w:sz w:val="30"/>
          <w:szCs w:val="30"/>
          <w:lang w:val="en-US" w:eastAsia="zh-CN"/>
        </w:rPr>
        <w:t>0</w:t>
      </w:r>
      <w:r>
        <w:rPr>
          <w:rFonts w:ascii="仿宋_GB2312" w:eastAsia="仿宋_GB2312" w:hint="eastAsia"/>
          <w:sz w:val="30"/>
          <w:szCs w:val="30"/>
        </w:rPr>
        <w:t>辆。</w:t>
      </w:r>
    </w:p>
    <w:p>
      <w:pPr>
        <w:widowControl/>
        <w:snapToGrid w:val="0"/>
        <w:spacing w:before="100" w:after="100" w:line="360" w:lineRule="auto"/>
        <w:ind w:firstLine="600" w:firstLineChars="200"/>
        <w:jc w:val="left"/>
        <w:rPr>
          <w:rFonts w:ascii="仿宋_GB2312" w:eastAsia="仿宋_GB2312" w:hint="eastAsia"/>
          <w:sz w:val="30"/>
          <w:szCs w:val="30"/>
        </w:rPr>
      </w:pPr>
      <w:r>
        <w:rPr>
          <w:rFonts w:ascii="仿宋_GB2312" w:eastAsia="仿宋_GB2312" w:hint="eastAsia"/>
          <w:b/>
          <w:sz w:val="30"/>
          <w:szCs w:val="30"/>
        </w:rPr>
        <w:t>公务用车运行维护</w:t>
      </w:r>
      <w:r>
        <w:rPr>
          <w:rFonts w:ascii="仿宋_GB2312" w:eastAsia="仿宋_GB2312" w:hint="eastAsia"/>
          <w:sz w:val="30"/>
          <w:szCs w:val="30"/>
        </w:rPr>
        <w:t>支出</w:t>
      </w:r>
      <w:r>
        <w:rPr>
          <w:rFonts w:ascii="仿宋_GB2312" w:eastAsia="仿宋_GB2312" w:hint="eastAsia"/>
          <w:sz w:val="30"/>
          <w:szCs w:val="30"/>
          <w:lang w:val="en-US" w:eastAsia="zh-CN"/>
        </w:rPr>
        <w:t>5.97</w:t>
      </w:r>
      <w:r>
        <w:rPr>
          <w:rFonts w:ascii="仿宋_GB2312" w:eastAsia="仿宋_GB2312" w:hint="eastAsia"/>
          <w:sz w:val="30"/>
          <w:szCs w:val="30"/>
        </w:rPr>
        <w:t>万元，开支一般公共预算财政拨款的公务用车保有量为</w:t>
      </w:r>
      <w:r>
        <w:rPr>
          <w:rFonts w:ascii="仿宋_GB2312" w:eastAsia="仿宋_GB2312" w:hint="eastAsia"/>
          <w:sz w:val="30"/>
          <w:szCs w:val="30"/>
          <w:lang w:val="en-US" w:eastAsia="zh-CN"/>
        </w:rPr>
        <w:t>4</w:t>
      </w:r>
      <w:r>
        <w:rPr>
          <w:rFonts w:ascii="仿宋_GB2312" w:eastAsia="仿宋_GB2312" w:hint="eastAsia"/>
          <w:sz w:val="30"/>
          <w:szCs w:val="30"/>
        </w:rPr>
        <w:t>辆。主要用于</w:t>
      </w:r>
      <w:r>
        <w:rPr>
          <w:rFonts w:ascii="仿宋_GB2312" w:eastAsia="仿宋_GB2312" w:hint="eastAsia"/>
          <w:sz w:val="30"/>
          <w:szCs w:val="30"/>
          <w:lang w:eastAsia="zh-CN"/>
        </w:rPr>
        <w:t>出差、扶贫下乡、住房公积金贷款实地看房</w:t>
      </w:r>
      <w:r>
        <w:rPr>
          <w:rFonts w:ascii="仿宋_GB2312" w:eastAsia="仿宋_GB2312" w:hint="eastAsia"/>
          <w:sz w:val="30"/>
          <w:szCs w:val="30"/>
        </w:rPr>
        <w:t>所需车辆燃料费、维修费、过路过桥费、保险费等。</w:t>
      </w:r>
    </w:p>
    <w:p>
      <w:pPr>
        <w:widowControl/>
        <w:snapToGrid w:val="0"/>
        <w:spacing w:before="100" w:after="100" w:line="360" w:lineRule="auto"/>
        <w:ind w:firstLine="600" w:firstLineChars="200"/>
        <w:jc w:val="left"/>
        <w:rPr>
          <w:rFonts w:ascii="仿宋_GB2312" w:eastAsia="仿宋_GB2312" w:hint="eastAsia"/>
          <w:sz w:val="30"/>
          <w:szCs w:val="30"/>
        </w:rPr>
      </w:pPr>
      <w:r>
        <w:rPr>
          <w:rFonts w:ascii="仿宋_GB2312" w:eastAsia="仿宋_GB2312" w:hint="eastAsia"/>
          <w:b/>
          <w:sz w:val="30"/>
          <w:szCs w:val="30"/>
        </w:rPr>
        <w:t>3.公务接待费</w:t>
      </w:r>
      <w:r>
        <w:rPr>
          <w:rFonts w:ascii="仿宋_GB2312" w:eastAsia="仿宋_GB2312" w:hint="eastAsia"/>
          <w:sz w:val="30"/>
          <w:szCs w:val="30"/>
        </w:rPr>
        <w:t>支出</w:t>
      </w:r>
      <w:r>
        <w:rPr>
          <w:rFonts w:ascii="仿宋_GB2312" w:eastAsia="仿宋_GB2312" w:hint="eastAsia"/>
          <w:sz w:val="30"/>
          <w:szCs w:val="30"/>
          <w:lang w:val="en-US" w:eastAsia="zh-CN"/>
        </w:rPr>
        <w:t>0.07</w:t>
      </w:r>
      <w:r>
        <w:rPr>
          <w:rFonts w:ascii="仿宋_GB2312" w:eastAsia="仿宋_GB2312" w:hint="eastAsia"/>
          <w:sz w:val="30"/>
          <w:szCs w:val="30"/>
        </w:rPr>
        <w:t>万元。其中：</w:t>
      </w:r>
    </w:p>
    <w:p>
      <w:pPr>
        <w:widowControl/>
        <w:snapToGrid w:val="0"/>
        <w:spacing w:before="100" w:after="100" w:line="360" w:lineRule="auto"/>
        <w:ind w:firstLine="600" w:firstLineChars="200"/>
        <w:jc w:val="left"/>
        <w:rPr>
          <w:rFonts w:ascii="仿宋_GB2312" w:eastAsia="仿宋_GB2312" w:hint="eastAsia"/>
          <w:sz w:val="30"/>
          <w:szCs w:val="30"/>
        </w:rPr>
      </w:pPr>
      <w:r>
        <w:rPr>
          <w:rFonts w:ascii="仿宋_GB2312" w:eastAsia="仿宋_GB2312" w:hint="eastAsia"/>
          <w:b/>
          <w:sz w:val="30"/>
          <w:szCs w:val="30"/>
        </w:rPr>
        <w:t>国内接待费</w:t>
      </w:r>
      <w:r>
        <w:rPr>
          <w:rFonts w:ascii="仿宋_GB2312" w:eastAsia="仿宋_GB2312" w:hint="eastAsia"/>
          <w:sz w:val="30"/>
          <w:szCs w:val="30"/>
        </w:rPr>
        <w:t>支出</w:t>
      </w:r>
      <w:r>
        <w:rPr>
          <w:rFonts w:ascii="仿宋_GB2312" w:eastAsia="仿宋_GB2312" w:hint="eastAsia"/>
          <w:sz w:val="30"/>
          <w:szCs w:val="30"/>
          <w:lang w:val="en-US" w:eastAsia="zh-CN"/>
        </w:rPr>
        <w:t>0.07</w:t>
      </w:r>
      <w:r>
        <w:rPr>
          <w:rFonts w:ascii="仿宋_GB2312" w:eastAsia="仿宋_GB2312" w:hint="eastAsia"/>
          <w:sz w:val="30"/>
          <w:szCs w:val="30"/>
        </w:rPr>
        <w:t>万元，共安排国内公务接待</w:t>
      </w:r>
      <w:r>
        <w:rPr>
          <w:rFonts w:ascii="仿宋_GB2312" w:eastAsia="仿宋_GB2312" w:hint="eastAsia"/>
          <w:sz w:val="30"/>
          <w:szCs w:val="30"/>
          <w:lang w:val="en-US" w:eastAsia="zh-CN"/>
        </w:rPr>
        <w:t>5</w:t>
      </w:r>
      <w:r>
        <w:rPr>
          <w:rFonts w:ascii="仿宋_GB2312" w:eastAsia="仿宋_GB2312" w:hint="eastAsia"/>
          <w:sz w:val="30"/>
          <w:szCs w:val="30"/>
        </w:rPr>
        <w:t>批次外事接，接待人次</w:t>
      </w:r>
      <w:r>
        <w:rPr>
          <w:rFonts w:ascii="仿宋_GB2312" w:eastAsia="仿宋_GB2312" w:hint="eastAsia"/>
          <w:sz w:val="30"/>
          <w:szCs w:val="30"/>
          <w:lang w:val="en-US" w:eastAsia="zh-CN"/>
        </w:rPr>
        <w:t>25</w:t>
      </w:r>
      <w:r>
        <w:rPr>
          <w:rFonts w:ascii="仿宋_GB2312" w:eastAsia="仿宋_GB2312" w:hint="eastAsia"/>
          <w:sz w:val="30"/>
          <w:szCs w:val="30"/>
        </w:rPr>
        <w:t>人。主要用于</w:t>
      </w:r>
      <w:r>
        <w:rPr>
          <w:rFonts w:ascii="仿宋_GB2312" w:eastAsia="仿宋_GB2312" w:hint="eastAsia"/>
          <w:sz w:val="30"/>
          <w:szCs w:val="30"/>
          <w:lang w:eastAsia="zh-CN"/>
        </w:rPr>
        <w:t>昆明南天网络工程系统有限公司到迪庆州住房公积金管理中心业务技能培训和安装调试设备所产生接待费</w:t>
      </w:r>
      <w:r>
        <w:rPr>
          <w:rFonts w:ascii="仿宋_GB2312" w:eastAsia="仿宋_GB2312" w:hint="eastAsia"/>
          <w:sz w:val="30"/>
          <w:szCs w:val="30"/>
        </w:rPr>
        <w:t>。</w:t>
      </w:r>
    </w:p>
    <w:p>
      <w:pPr>
        <w:widowControl/>
        <w:snapToGrid w:val="0"/>
        <w:spacing w:before="100" w:after="100" w:line="360" w:lineRule="auto"/>
        <w:ind w:firstLine="600" w:firstLineChars="200"/>
        <w:jc w:val="left"/>
        <w:rPr>
          <w:rFonts w:ascii="仿宋_GB2312" w:eastAsia="仿宋_GB2312" w:hint="eastAsia"/>
          <w:sz w:val="30"/>
          <w:szCs w:val="30"/>
          <w:lang w:val="en-US" w:eastAsia="zh-CN"/>
        </w:rPr>
      </w:pPr>
      <w:r>
        <w:rPr>
          <w:rFonts w:ascii="仿宋_GB2312" w:eastAsia="仿宋_GB2312" w:hint="eastAsia"/>
          <w:b/>
          <w:sz w:val="30"/>
          <w:szCs w:val="30"/>
        </w:rPr>
        <w:t>国（境）外接待费</w:t>
      </w:r>
      <w:r>
        <w:rPr>
          <w:rFonts w:ascii="仿宋_GB2312" w:eastAsia="仿宋_GB2312" w:hint="eastAsia"/>
          <w:sz w:val="30"/>
          <w:szCs w:val="30"/>
        </w:rPr>
        <w:t>支出</w:t>
      </w:r>
      <w:r>
        <w:rPr>
          <w:rFonts w:ascii="仿宋_GB2312" w:eastAsia="仿宋_GB2312" w:hint="eastAsia"/>
          <w:sz w:val="30"/>
          <w:szCs w:val="30"/>
          <w:lang w:val="en-US" w:eastAsia="zh-CN"/>
        </w:rPr>
        <w:t>0</w:t>
      </w:r>
      <w:r>
        <w:rPr>
          <w:rFonts w:ascii="仿宋_GB2312" w:eastAsia="仿宋_GB2312" w:hint="eastAsia"/>
          <w:sz w:val="30"/>
          <w:szCs w:val="30"/>
        </w:rPr>
        <w:t>万元，共安排国（境）外公务接待</w:t>
      </w:r>
      <w:r>
        <w:rPr>
          <w:rFonts w:ascii="仿宋_GB2312" w:eastAsia="仿宋_GB2312" w:hint="eastAsia"/>
          <w:sz w:val="30"/>
          <w:szCs w:val="30"/>
          <w:lang w:val="en-US" w:eastAsia="zh-CN"/>
        </w:rPr>
        <w:t>0</w:t>
      </w:r>
      <w:r>
        <w:rPr>
          <w:rFonts w:ascii="仿宋_GB2312" w:eastAsia="仿宋_GB2312" w:hint="eastAsia"/>
          <w:sz w:val="30"/>
          <w:szCs w:val="30"/>
        </w:rPr>
        <w:t>批次，接待人次</w:t>
      </w:r>
      <w:r>
        <w:rPr>
          <w:rFonts w:ascii="仿宋_GB2312" w:eastAsia="仿宋_GB2312" w:hint="eastAsia"/>
          <w:sz w:val="30"/>
          <w:szCs w:val="30"/>
          <w:lang w:val="en-US" w:eastAsia="zh-CN"/>
        </w:rPr>
        <w:t>0</w:t>
      </w:r>
      <w:r>
        <w:rPr>
          <w:rFonts w:ascii="仿宋_GB2312" w:eastAsia="仿宋_GB2312" w:hint="eastAsia"/>
          <w:sz w:val="30"/>
          <w:szCs w:val="30"/>
        </w:rPr>
        <w:t>人。</w:t>
      </w:r>
    </w:p>
    <w:p>
      <w:pPr>
        <w:widowControl/>
        <w:snapToGrid w:val="0"/>
        <w:spacing w:before="100" w:after="100" w:line="360" w:lineRule="auto"/>
        <w:ind w:firstLine="640" w:firstLineChars="200"/>
        <w:jc w:val="left"/>
        <w:rPr>
          <w:rFonts w:ascii="仿宋_GB2312" w:eastAsia="仿宋_GB2312" w:hint="eastAsia"/>
          <w:sz w:val="32"/>
          <w:szCs w:val="32"/>
        </w:rPr>
      </w:pPr>
      <w:r>
        <w:rPr>
          <w:rFonts w:ascii="黑体" w:eastAsia="黑体" w:hAnsi="黑体" w:cs="方正小标宋简体" w:hint="eastAsia"/>
          <w:sz w:val="32"/>
          <w:szCs w:val="32"/>
        </w:rPr>
        <w:t xml:space="preserve">第四部分  </w:t>
      </w:r>
      <w:r>
        <w:rPr>
          <w:rFonts w:ascii="黑体" w:eastAsia="黑体" w:hAnsi="黑体" w:hint="eastAsia"/>
          <w:sz w:val="32"/>
          <w:szCs w:val="32"/>
        </w:rPr>
        <w:t>其他重要事项及相关口径情况说明</w:t>
      </w:r>
    </w:p>
    <w:p>
      <w:pPr>
        <w:ind w:firstLine="600" w:firstLineChars="200"/>
        <w:jc w:val="left"/>
        <w:rPr>
          <w:rFonts w:ascii="黑体" w:eastAsia="黑体" w:hAnsi="黑体" w:cs="黑体" w:hint="eastAsia"/>
          <w:sz w:val="30"/>
          <w:szCs w:val="30"/>
        </w:rPr>
      </w:pPr>
      <w:r>
        <w:rPr>
          <w:rFonts w:ascii="黑体" w:eastAsia="黑体" w:hAnsi="黑体" w:cs="黑体" w:hint="eastAsia"/>
          <w:sz w:val="30"/>
          <w:szCs w:val="30"/>
        </w:rPr>
        <w:t>一</w:t>
      </w:r>
      <w:r>
        <w:rPr>
          <w:rFonts w:ascii="黑体" w:eastAsia="黑体" w:hAnsi="黑体" w:cs="黑体" w:hint="eastAsia"/>
          <w:sz w:val="30"/>
          <w:szCs w:val="30"/>
          <w:lang w:eastAsia="zh-CN"/>
        </w:rPr>
        <w:t>、</w:t>
      </w:r>
      <w:r>
        <w:rPr>
          <w:rFonts w:ascii="黑体" w:eastAsia="黑体" w:hAnsi="黑体" w:cs="黑体" w:hint="eastAsia"/>
          <w:sz w:val="30"/>
          <w:szCs w:val="30"/>
        </w:rPr>
        <w:t>机关运行经费支出情况</w:t>
      </w:r>
    </w:p>
    <w:p>
      <w:pPr>
        <w:ind w:firstLine="600" w:firstLineChars="200"/>
        <w:jc w:val="left"/>
        <w:rPr>
          <w:rFonts w:ascii="仿宋_GB2312" w:eastAsia="仿宋_GB2312" w:hAnsi="黑体" w:cs="方正小标宋简体" w:hint="eastAsia"/>
          <w:sz w:val="30"/>
          <w:szCs w:val="30"/>
        </w:rPr>
      </w:pPr>
      <w:r>
        <w:rPr>
          <w:rFonts w:ascii="仿宋_GB2312" w:eastAsia="仿宋_GB2312" w:hAnsi="黑体" w:cs="方正小标宋简体" w:hint="eastAsia"/>
          <w:sz w:val="30"/>
          <w:szCs w:val="30"/>
          <w:lang w:eastAsia="zh-CN"/>
        </w:rPr>
        <w:t>迪庆州住房公积金管理中心属于财政全额拨款副处级事业单位</w:t>
      </w:r>
      <w:r>
        <w:rPr>
          <w:rFonts w:ascii="仿宋_GB2312" w:eastAsia="仿宋_GB2312" w:hAnsi="黑体" w:cs="方正小标宋简体" w:hint="eastAsia"/>
          <w:sz w:val="30"/>
          <w:szCs w:val="30"/>
          <w:lang w:val="en-US" w:eastAsia="zh-CN"/>
        </w:rPr>
        <w:t>2018</w:t>
      </w:r>
      <w:r>
        <w:rPr>
          <w:rFonts w:ascii="仿宋_GB2312" w:eastAsia="仿宋_GB2312" w:hAnsi="黑体" w:cs="方正小标宋简体" w:hint="eastAsia"/>
          <w:sz w:val="30"/>
          <w:szCs w:val="30"/>
        </w:rPr>
        <w:t>年</w:t>
      </w:r>
      <w:r>
        <w:rPr>
          <w:rFonts w:ascii="仿宋_GB2312" w:eastAsia="仿宋_GB2312" w:hAnsi="黑体" w:cs="方正小标宋简体" w:hint="eastAsia"/>
          <w:sz w:val="30"/>
          <w:szCs w:val="30"/>
          <w:lang w:eastAsia="zh-CN"/>
        </w:rPr>
        <w:t>无</w:t>
      </w:r>
      <w:r>
        <w:rPr>
          <w:rFonts w:ascii="仿宋_GB2312" w:eastAsia="仿宋_GB2312" w:hAnsi="黑体" w:cs="方正小标宋简体" w:hint="eastAsia"/>
          <w:sz w:val="30"/>
          <w:szCs w:val="30"/>
        </w:rPr>
        <w:t>机关运行经费支出。</w:t>
      </w:r>
    </w:p>
    <w:p>
      <w:pPr>
        <w:widowControl/>
        <w:ind w:firstLine="600" w:firstLineChars="200"/>
        <w:rPr>
          <w:rFonts w:ascii="黑体" w:eastAsia="黑体" w:hAnsi="黑体" w:cs="黑体" w:hint="eastAsia"/>
          <w:color w:val="000000"/>
          <w:kern w:val="0"/>
          <w:sz w:val="30"/>
          <w:szCs w:val="30"/>
        </w:rPr>
      </w:pPr>
      <w:r>
        <w:rPr>
          <w:rFonts w:ascii="黑体" w:eastAsia="黑体" w:hAnsi="黑体" w:cs="黑体" w:hint="eastAsia"/>
          <w:color w:val="000000"/>
          <w:kern w:val="0"/>
          <w:sz w:val="30"/>
          <w:szCs w:val="30"/>
          <w:lang w:eastAsia="zh-CN"/>
        </w:rPr>
        <w:t>二、</w:t>
      </w:r>
      <w:r>
        <w:rPr>
          <w:rFonts w:ascii="黑体" w:eastAsia="黑体" w:hAnsi="黑体" w:cs="黑体" w:hint="eastAsia"/>
          <w:color w:val="000000"/>
          <w:kern w:val="0"/>
          <w:sz w:val="30"/>
          <w:szCs w:val="30"/>
        </w:rPr>
        <w:t>国有资产占用情况</w:t>
      </w:r>
    </w:p>
    <w:p>
      <w:pPr>
        <w:widowControl/>
        <w:ind w:firstLine="600" w:firstLineChars="200"/>
        <w:rPr>
          <w:rFonts w:ascii="宋体" w:hAnsi="宋体" w:cs="宋体"/>
          <w:color w:val="000000"/>
          <w:kern w:val="0"/>
          <w:sz w:val="30"/>
          <w:szCs w:val="30"/>
        </w:rPr>
      </w:pPr>
      <w:r>
        <w:rPr>
          <w:rFonts w:ascii="仿宋_GB2312" w:eastAsia="仿宋_GB2312" w:hAnsi="黑体" w:cs="方正小标宋简体" w:hint="eastAsia"/>
          <w:color w:val="000000"/>
          <w:kern w:val="0"/>
          <w:sz w:val="30"/>
          <w:szCs w:val="30"/>
        </w:rPr>
        <w:t>截至</w:t>
      </w:r>
      <w:r>
        <w:rPr>
          <w:rFonts w:ascii="仿宋_GB2312" w:eastAsia="仿宋_GB2312" w:hAnsi="黑体" w:cs="方正小标宋简体" w:hint="eastAsia"/>
          <w:color w:val="000000"/>
          <w:kern w:val="0"/>
          <w:sz w:val="30"/>
          <w:szCs w:val="30"/>
          <w:lang w:val="en-US" w:eastAsia="zh-CN"/>
        </w:rPr>
        <w:t>2018</w:t>
      </w:r>
      <w:r>
        <w:rPr>
          <w:rFonts w:ascii="仿宋_GB2312" w:eastAsia="仿宋_GB2312" w:hAnsi="黑体" w:cs="方正小标宋简体" w:hint="eastAsia"/>
          <w:color w:val="000000"/>
          <w:kern w:val="0"/>
          <w:sz w:val="30"/>
          <w:szCs w:val="30"/>
        </w:rPr>
        <w:t>年</w:t>
      </w:r>
      <w:r>
        <w:rPr>
          <w:rFonts w:ascii="仿宋_GB2312" w:eastAsia="仿宋_GB2312" w:hAnsi="黑体" w:cs="方正小标宋简体" w:hint="eastAsia"/>
          <w:color w:val="000000"/>
          <w:kern w:val="0"/>
          <w:sz w:val="30"/>
          <w:szCs w:val="30"/>
          <w:lang w:val="en-US" w:eastAsia="zh-CN"/>
        </w:rPr>
        <w:t>12</w:t>
      </w:r>
      <w:r>
        <w:rPr>
          <w:rFonts w:ascii="仿宋_GB2312" w:eastAsia="仿宋_GB2312" w:hAnsi="黑体" w:cs="方正小标宋简体" w:hint="eastAsia"/>
          <w:color w:val="000000"/>
          <w:kern w:val="0"/>
          <w:sz w:val="30"/>
          <w:szCs w:val="30"/>
        </w:rPr>
        <w:t>月</w:t>
      </w:r>
      <w:r>
        <w:rPr>
          <w:rFonts w:ascii="仿宋_GB2312" w:eastAsia="仿宋_GB2312" w:hAnsi="黑体" w:cs="方正小标宋简体" w:hint="eastAsia"/>
          <w:color w:val="000000"/>
          <w:kern w:val="0"/>
          <w:sz w:val="30"/>
          <w:szCs w:val="30"/>
          <w:lang w:val="en-US" w:eastAsia="zh-CN"/>
        </w:rPr>
        <w:t>31</w:t>
      </w:r>
      <w:r>
        <w:rPr>
          <w:rFonts w:ascii="仿宋_GB2312" w:eastAsia="仿宋_GB2312" w:hAnsi="黑体" w:cs="方正小标宋简体" w:hint="eastAsia"/>
          <w:color w:val="000000"/>
          <w:kern w:val="0"/>
          <w:sz w:val="30"/>
          <w:szCs w:val="30"/>
        </w:rPr>
        <w:t>日，</w:t>
      </w:r>
      <w:r>
        <w:rPr>
          <w:rFonts w:ascii="仿宋_GB2312" w:eastAsia="仿宋_GB2312" w:hAnsi="黑体" w:cs="方正小标宋简体" w:hint="eastAsia"/>
          <w:color w:val="000000"/>
          <w:kern w:val="0"/>
          <w:sz w:val="30"/>
          <w:szCs w:val="30"/>
          <w:lang w:eastAsia="zh-CN"/>
        </w:rPr>
        <w:t>迪庆州住房公积金管理中心</w:t>
      </w:r>
      <w:r>
        <w:rPr>
          <w:rFonts w:ascii="仿宋_GB2312" w:eastAsia="仿宋_GB2312" w:hAnsi="黑体" w:cs="方正小标宋简体" w:hint="eastAsia"/>
          <w:color w:val="000000"/>
          <w:kern w:val="0"/>
          <w:sz w:val="30"/>
          <w:szCs w:val="30"/>
        </w:rPr>
        <w:t>资产总额</w:t>
      </w:r>
      <w:r>
        <w:rPr>
          <w:rFonts w:ascii="仿宋_GB2312" w:eastAsia="仿宋_GB2312" w:hAnsi="黑体" w:cs="方正小标宋简体" w:hint="eastAsia"/>
          <w:color w:val="000000"/>
          <w:kern w:val="0"/>
          <w:sz w:val="30"/>
          <w:szCs w:val="30"/>
          <w:lang w:val="en-US" w:eastAsia="zh-CN"/>
        </w:rPr>
        <w:t>1779.25</w:t>
      </w:r>
      <w:r>
        <w:rPr>
          <w:rFonts w:ascii="仿宋_GB2312" w:eastAsia="仿宋_GB2312" w:hAnsi="黑体" w:cs="方正小标宋简体" w:hint="eastAsia"/>
          <w:color w:val="000000"/>
          <w:kern w:val="0"/>
          <w:sz w:val="30"/>
          <w:szCs w:val="30"/>
        </w:rPr>
        <w:t>万元，其中，流动资产</w:t>
      </w:r>
      <w:r>
        <w:rPr>
          <w:rFonts w:ascii="仿宋_GB2312" w:eastAsia="仿宋_GB2312" w:hAnsi="黑体" w:cs="方正小标宋简体" w:hint="eastAsia"/>
          <w:color w:val="000000"/>
          <w:kern w:val="0"/>
          <w:sz w:val="30"/>
          <w:szCs w:val="30"/>
          <w:lang w:val="en-US" w:eastAsia="zh-CN"/>
        </w:rPr>
        <w:t>504.21</w:t>
      </w:r>
      <w:r>
        <w:rPr>
          <w:rFonts w:ascii="仿宋_GB2312" w:eastAsia="仿宋_GB2312" w:hAnsi="黑体" w:cs="方正小标宋简体" w:hint="eastAsia"/>
          <w:color w:val="000000"/>
          <w:kern w:val="0"/>
          <w:sz w:val="30"/>
          <w:szCs w:val="30"/>
        </w:rPr>
        <w:t>万元，固定资产</w:t>
      </w:r>
      <w:r>
        <w:rPr>
          <w:rFonts w:ascii="仿宋_GB2312" w:eastAsia="仿宋_GB2312" w:hAnsi="黑体" w:cs="方正小标宋简体" w:hint="eastAsia"/>
          <w:color w:val="000000"/>
          <w:kern w:val="0"/>
          <w:sz w:val="30"/>
          <w:szCs w:val="30"/>
          <w:lang w:val="en-US" w:eastAsia="zh-CN"/>
        </w:rPr>
        <w:t>809.37</w:t>
      </w:r>
      <w:r>
        <w:rPr>
          <w:rFonts w:ascii="仿宋_GB2312" w:eastAsia="仿宋_GB2312" w:hAnsi="黑体" w:cs="方正小标宋简体" w:hint="eastAsia"/>
          <w:color w:val="000000"/>
          <w:kern w:val="0"/>
          <w:sz w:val="30"/>
          <w:szCs w:val="30"/>
        </w:rPr>
        <w:t>万元，对外投资及有价证券</w:t>
      </w:r>
      <w:r>
        <w:rPr>
          <w:rFonts w:ascii="仿宋_GB2312" w:eastAsia="仿宋_GB2312" w:hAnsi="黑体" w:cs="方正小标宋简体" w:hint="eastAsia"/>
          <w:color w:val="000000"/>
          <w:kern w:val="0"/>
          <w:sz w:val="30"/>
          <w:szCs w:val="30"/>
          <w:lang w:val="en-US" w:eastAsia="zh-CN"/>
        </w:rPr>
        <w:t>,0</w:t>
      </w:r>
      <w:r>
        <w:rPr>
          <w:rFonts w:ascii="仿宋_GB2312" w:eastAsia="仿宋_GB2312" w:hAnsi="黑体" w:cs="方正小标宋简体" w:hint="eastAsia"/>
          <w:color w:val="000000"/>
          <w:kern w:val="0"/>
          <w:sz w:val="30"/>
          <w:szCs w:val="30"/>
        </w:rPr>
        <w:t>万元</w:t>
      </w:r>
      <w:r>
        <w:rPr>
          <w:rFonts w:ascii="仿宋_GB2312" w:eastAsia="仿宋_GB2312" w:hAnsi="黑体" w:cs="方正小标宋简体" w:hint="eastAsia"/>
          <w:color w:val="000000"/>
          <w:kern w:val="0"/>
          <w:sz w:val="30"/>
          <w:szCs w:val="30"/>
          <w:lang w:eastAsia="zh-CN"/>
        </w:rPr>
        <w:t>，</w:t>
      </w:r>
      <w:r>
        <w:rPr>
          <w:rFonts w:ascii="仿宋_GB2312" w:eastAsia="仿宋_GB2312" w:hAnsi="黑体" w:cs="方正小标宋简体" w:hint="eastAsia"/>
          <w:color w:val="000000"/>
          <w:kern w:val="0"/>
          <w:sz w:val="30"/>
          <w:szCs w:val="30"/>
        </w:rPr>
        <w:t>在建工程</w:t>
      </w:r>
      <w:r>
        <w:rPr>
          <w:rFonts w:ascii="仿宋_GB2312" w:eastAsia="仿宋_GB2312" w:hAnsi="黑体" w:cs="方正小标宋简体" w:hint="eastAsia"/>
          <w:color w:val="000000"/>
          <w:kern w:val="0"/>
          <w:sz w:val="30"/>
          <w:szCs w:val="30"/>
          <w:lang w:val="en-US" w:eastAsia="zh-CN"/>
        </w:rPr>
        <w:t>341.77</w:t>
      </w:r>
      <w:r>
        <w:rPr>
          <w:rFonts w:ascii="仿宋_GB2312" w:eastAsia="仿宋_GB2312" w:hAnsi="黑体" w:cs="方正小标宋简体" w:hint="eastAsia"/>
          <w:color w:val="000000"/>
          <w:kern w:val="0"/>
          <w:sz w:val="30"/>
          <w:szCs w:val="30"/>
        </w:rPr>
        <w:t>万元，无形资产</w:t>
      </w:r>
      <w:r>
        <w:rPr>
          <w:rFonts w:ascii="仿宋_GB2312" w:eastAsia="仿宋_GB2312" w:hAnsi="黑体" w:cs="方正小标宋简体" w:hint="eastAsia"/>
          <w:color w:val="000000"/>
          <w:kern w:val="0"/>
          <w:sz w:val="30"/>
          <w:szCs w:val="30"/>
          <w:lang w:val="en-US" w:eastAsia="zh-CN"/>
        </w:rPr>
        <w:t>123.89</w:t>
      </w:r>
      <w:r>
        <w:rPr>
          <w:rFonts w:ascii="仿宋_GB2312" w:eastAsia="仿宋_GB2312" w:hAnsi="黑体" w:cs="方正小标宋简体" w:hint="eastAsia"/>
          <w:color w:val="000000"/>
          <w:kern w:val="0"/>
          <w:sz w:val="30"/>
          <w:szCs w:val="30"/>
        </w:rPr>
        <w:t>万元，其他资产</w:t>
      </w:r>
      <w:r>
        <w:rPr>
          <w:rFonts w:ascii="仿宋_GB2312" w:eastAsia="仿宋_GB2312" w:hAnsi="黑体" w:cs="方正小标宋简体" w:hint="eastAsia"/>
          <w:color w:val="000000"/>
          <w:kern w:val="0"/>
          <w:sz w:val="30"/>
          <w:szCs w:val="30"/>
          <w:lang w:val="en-US" w:eastAsia="zh-CN"/>
        </w:rPr>
        <w:t>0</w:t>
      </w:r>
      <w:r>
        <w:rPr>
          <w:rFonts w:ascii="仿宋_GB2312" w:eastAsia="仿宋_GB2312" w:hAnsi="黑体" w:cs="方正小标宋简体" w:hint="eastAsia"/>
          <w:color w:val="000000"/>
          <w:kern w:val="0"/>
          <w:sz w:val="30"/>
          <w:szCs w:val="30"/>
        </w:rPr>
        <w:t>万元（具体内容详见附表）。与上年相比，本年资产总额增加</w:t>
      </w:r>
      <w:r>
        <w:rPr>
          <w:rFonts w:ascii="仿宋_GB2312" w:eastAsia="仿宋_GB2312" w:hAnsi="黑体" w:cs="方正小标宋简体" w:hint="eastAsia"/>
          <w:color w:val="000000"/>
          <w:kern w:val="0"/>
          <w:sz w:val="30"/>
          <w:szCs w:val="30"/>
          <w:lang w:val="en-US" w:eastAsia="zh-CN"/>
        </w:rPr>
        <w:t>322.24</w:t>
      </w:r>
      <w:r>
        <w:rPr>
          <w:rFonts w:ascii="仿宋_GB2312" w:eastAsia="仿宋_GB2312" w:hAnsi="黑体" w:cs="方正小标宋简体" w:hint="eastAsia"/>
          <w:color w:val="000000"/>
          <w:kern w:val="0"/>
          <w:sz w:val="30"/>
          <w:szCs w:val="30"/>
        </w:rPr>
        <w:t>万元，其中固定资产增加</w:t>
      </w:r>
      <w:r>
        <w:rPr>
          <w:rFonts w:ascii="仿宋_GB2312" w:eastAsia="仿宋_GB2312" w:hAnsi="黑体" w:cs="方正小标宋简体" w:hint="eastAsia"/>
          <w:color w:val="000000"/>
          <w:kern w:val="0"/>
          <w:sz w:val="30"/>
          <w:szCs w:val="30"/>
          <w:lang w:val="en-US" w:eastAsia="zh-CN"/>
        </w:rPr>
        <w:t>75.52</w:t>
      </w:r>
      <w:r>
        <w:rPr>
          <w:rFonts w:ascii="仿宋_GB2312" w:eastAsia="仿宋_GB2312" w:hAnsi="黑体" w:cs="方正小标宋简体" w:hint="eastAsia"/>
          <w:color w:val="000000"/>
          <w:kern w:val="0"/>
          <w:sz w:val="30"/>
          <w:szCs w:val="30"/>
        </w:rPr>
        <w:t>万元。处置房屋建筑物</w:t>
      </w:r>
      <w:r>
        <w:rPr>
          <w:rFonts w:ascii="仿宋_GB2312" w:eastAsia="仿宋_GB2312" w:hAnsi="黑体" w:cs="方正小标宋简体" w:hint="eastAsia"/>
          <w:color w:val="000000"/>
          <w:kern w:val="0"/>
          <w:sz w:val="30"/>
          <w:szCs w:val="30"/>
          <w:lang w:val="en-US" w:eastAsia="zh-CN"/>
        </w:rPr>
        <w:t>0</w:t>
      </w:r>
      <w:r>
        <w:rPr>
          <w:rFonts w:ascii="仿宋_GB2312" w:eastAsia="仿宋_GB2312" w:hAnsi="黑体" w:cs="方正小标宋简体" w:hint="eastAsia"/>
          <w:color w:val="000000"/>
          <w:kern w:val="0"/>
          <w:sz w:val="30"/>
          <w:szCs w:val="30"/>
        </w:rPr>
        <w:t>平方米，账面原值</w:t>
      </w:r>
      <w:r>
        <w:rPr>
          <w:rFonts w:ascii="仿宋_GB2312" w:eastAsia="仿宋_GB2312" w:hAnsi="黑体" w:cs="方正小标宋简体" w:hint="eastAsia"/>
          <w:color w:val="000000"/>
          <w:kern w:val="0"/>
          <w:sz w:val="30"/>
          <w:szCs w:val="30"/>
          <w:lang w:val="en-US" w:eastAsia="zh-CN"/>
        </w:rPr>
        <w:t>0</w:t>
      </w:r>
      <w:r>
        <w:rPr>
          <w:rFonts w:ascii="仿宋_GB2312" w:eastAsia="仿宋_GB2312" w:hAnsi="黑体" w:cs="方正小标宋简体" w:hint="eastAsia"/>
          <w:color w:val="000000"/>
          <w:kern w:val="0"/>
          <w:sz w:val="30"/>
          <w:szCs w:val="30"/>
        </w:rPr>
        <w:t>万元；处置车辆</w:t>
      </w:r>
      <w:r>
        <w:rPr>
          <w:rFonts w:ascii="仿宋_GB2312" w:eastAsia="仿宋_GB2312" w:hAnsi="黑体" w:cs="方正小标宋简体" w:hint="eastAsia"/>
          <w:color w:val="000000"/>
          <w:kern w:val="0"/>
          <w:sz w:val="30"/>
          <w:szCs w:val="30"/>
          <w:lang w:val="en-US" w:eastAsia="zh-CN"/>
        </w:rPr>
        <w:t>0</w:t>
      </w:r>
      <w:r>
        <w:rPr>
          <w:rFonts w:ascii="仿宋_GB2312" w:eastAsia="仿宋_GB2312" w:hAnsi="黑体" w:cs="方正小标宋简体" w:hint="eastAsia"/>
          <w:color w:val="000000"/>
          <w:kern w:val="0"/>
          <w:sz w:val="30"/>
          <w:szCs w:val="30"/>
        </w:rPr>
        <w:t>辆，账面原值</w:t>
      </w:r>
      <w:r>
        <w:rPr>
          <w:rFonts w:ascii="仿宋_GB2312" w:eastAsia="仿宋_GB2312" w:hAnsi="黑体" w:cs="方正小标宋简体" w:hint="eastAsia"/>
          <w:color w:val="000000"/>
          <w:kern w:val="0"/>
          <w:sz w:val="30"/>
          <w:szCs w:val="30"/>
          <w:lang w:val="en-US" w:eastAsia="zh-CN"/>
        </w:rPr>
        <w:t>0</w:t>
      </w:r>
      <w:r>
        <w:rPr>
          <w:rFonts w:ascii="仿宋_GB2312" w:eastAsia="仿宋_GB2312" w:hAnsi="黑体" w:cs="方正小标宋简体" w:hint="eastAsia"/>
          <w:color w:val="000000"/>
          <w:kern w:val="0"/>
          <w:sz w:val="30"/>
          <w:szCs w:val="30"/>
        </w:rPr>
        <w:t>万元；报废报损资产</w:t>
      </w:r>
      <w:r>
        <w:rPr>
          <w:rFonts w:ascii="仿宋_GB2312" w:eastAsia="仿宋_GB2312" w:hAnsi="黑体" w:cs="方正小标宋简体" w:hint="eastAsia"/>
          <w:color w:val="000000"/>
          <w:kern w:val="0"/>
          <w:sz w:val="30"/>
          <w:szCs w:val="30"/>
          <w:lang w:val="en-US" w:eastAsia="zh-CN"/>
        </w:rPr>
        <w:t>0</w:t>
      </w:r>
      <w:r>
        <w:rPr>
          <w:rFonts w:ascii="仿宋_GB2312" w:eastAsia="仿宋_GB2312" w:hAnsi="黑体" w:cs="方正小标宋简体" w:hint="eastAsia"/>
          <w:color w:val="000000"/>
          <w:kern w:val="0"/>
          <w:sz w:val="30"/>
          <w:szCs w:val="30"/>
        </w:rPr>
        <w:t>项，账面原值</w:t>
      </w:r>
      <w:r>
        <w:rPr>
          <w:rFonts w:ascii="仿宋_GB2312" w:eastAsia="仿宋_GB2312" w:hAnsi="黑体" w:cs="方正小标宋简体" w:hint="eastAsia"/>
          <w:color w:val="000000"/>
          <w:kern w:val="0"/>
          <w:sz w:val="30"/>
          <w:szCs w:val="30"/>
          <w:lang w:val="en-US" w:eastAsia="zh-CN"/>
        </w:rPr>
        <w:t>0</w:t>
      </w:r>
      <w:r>
        <w:rPr>
          <w:rFonts w:ascii="仿宋_GB2312" w:eastAsia="仿宋_GB2312" w:hAnsi="黑体" w:cs="方正小标宋简体" w:hint="eastAsia"/>
          <w:color w:val="000000"/>
          <w:kern w:val="0"/>
          <w:sz w:val="30"/>
          <w:szCs w:val="30"/>
        </w:rPr>
        <w:t>万元，实现资产处置收入</w:t>
      </w:r>
      <w:r>
        <w:rPr>
          <w:rFonts w:ascii="仿宋_GB2312" w:eastAsia="仿宋_GB2312" w:hAnsi="黑体" w:cs="方正小标宋简体" w:hint="eastAsia"/>
          <w:color w:val="000000"/>
          <w:kern w:val="0"/>
          <w:sz w:val="30"/>
          <w:szCs w:val="30"/>
          <w:lang w:val="en-US" w:eastAsia="zh-CN"/>
        </w:rPr>
        <w:t>0</w:t>
      </w:r>
      <w:r>
        <w:rPr>
          <w:rFonts w:ascii="仿宋_GB2312" w:eastAsia="仿宋_GB2312" w:hAnsi="黑体" w:cs="方正小标宋简体" w:hint="eastAsia"/>
          <w:color w:val="000000"/>
          <w:kern w:val="0"/>
          <w:sz w:val="30"/>
          <w:szCs w:val="30"/>
        </w:rPr>
        <w:t>万元；出租房屋</w:t>
      </w:r>
      <w:r>
        <w:rPr>
          <w:rFonts w:ascii="仿宋_GB2312" w:eastAsia="仿宋_GB2312" w:hAnsi="黑体" w:cs="方正小标宋简体" w:hint="eastAsia"/>
          <w:color w:val="000000"/>
          <w:kern w:val="0"/>
          <w:sz w:val="30"/>
          <w:szCs w:val="30"/>
          <w:lang w:val="en-US" w:eastAsia="zh-CN"/>
        </w:rPr>
        <w:t>0</w:t>
      </w:r>
      <w:r>
        <w:rPr>
          <w:rFonts w:ascii="仿宋_GB2312" w:eastAsia="仿宋_GB2312" w:hAnsi="黑体" w:cs="方正小标宋简体" w:hint="eastAsia"/>
          <w:color w:val="000000"/>
          <w:kern w:val="0"/>
          <w:sz w:val="30"/>
          <w:szCs w:val="30"/>
        </w:rPr>
        <w:t>平方米，账面原值</w:t>
      </w:r>
      <w:r>
        <w:rPr>
          <w:rFonts w:ascii="仿宋_GB2312" w:eastAsia="仿宋_GB2312" w:hAnsi="黑体" w:cs="方正小标宋简体" w:hint="eastAsia"/>
          <w:color w:val="000000"/>
          <w:kern w:val="0"/>
          <w:sz w:val="30"/>
          <w:szCs w:val="30"/>
          <w:lang w:val="en-US" w:eastAsia="zh-CN"/>
        </w:rPr>
        <w:t>00</w:t>
      </w:r>
      <w:r>
        <w:rPr>
          <w:rFonts w:ascii="仿宋_GB2312" w:eastAsia="仿宋_GB2312" w:hAnsi="黑体" w:cs="方正小标宋简体" w:hint="eastAsia"/>
          <w:color w:val="000000"/>
          <w:kern w:val="0"/>
          <w:sz w:val="30"/>
          <w:szCs w:val="30"/>
        </w:rPr>
        <w:t>万元，实现资产使用收入</w:t>
      </w:r>
      <w:r>
        <w:rPr>
          <w:rFonts w:ascii="仿宋_GB2312" w:eastAsia="仿宋_GB2312" w:hAnsi="黑体" w:cs="方正小标宋简体" w:hint="eastAsia"/>
          <w:color w:val="000000"/>
          <w:kern w:val="0"/>
          <w:sz w:val="30"/>
          <w:szCs w:val="30"/>
          <w:lang w:val="en-US" w:eastAsia="zh-CN"/>
        </w:rPr>
        <w:t>0</w:t>
      </w:r>
      <w:r>
        <w:rPr>
          <w:rFonts w:ascii="仿宋_GB2312" w:eastAsia="仿宋_GB2312" w:hAnsi="黑体" w:cs="方正小标宋简体" w:hint="eastAsia"/>
          <w:color w:val="000000"/>
          <w:kern w:val="0"/>
          <w:sz w:val="30"/>
          <w:szCs w:val="30"/>
        </w:rPr>
        <w:t>万元。</w:t>
      </w:r>
    </w:p>
    <w:tbl>
      <w:tblPr>
        <w:tblStyle w:val="TableNormal"/>
        <w:tblpPr w:leftFromText="180" w:rightFromText="180" w:topFromText="100" w:bottomFromText="100" w:vertAnchor="text" w:horzAnchor="page" w:tblpX="534" w:tblpY="490"/>
        <w:tblOverlap w:val="never"/>
        <w:tblLayout w:type="fixed"/>
        <w:tblCellMar>
          <w:top w:w="0" w:type="dxa"/>
          <w:left w:w="0" w:type="dxa"/>
          <w:bottom w:w="0" w:type="dxa"/>
          <w:right w:w="0" w:type="dxa"/>
        </w:tblCellMar>
        <w:tblLook w:val="0000"/>
      </w:tblPr>
      <w:tblGrid>
        <w:gridCol w:w="715"/>
        <w:gridCol w:w="546"/>
        <w:gridCol w:w="700"/>
        <w:gridCol w:w="684"/>
        <w:gridCol w:w="474"/>
        <w:gridCol w:w="725"/>
        <w:gridCol w:w="769"/>
        <w:gridCol w:w="67"/>
        <w:gridCol w:w="865"/>
        <w:gridCol w:w="331"/>
        <w:gridCol w:w="643"/>
        <w:gridCol w:w="196"/>
        <w:gridCol w:w="978"/>
        <w:gridCol w:w="979"/>
        <w:gridCol w:w="360"/>
        <w:gridCol w:w="618"/>
        <w:gridCol w:w="360"/>
        <w:gridCol w:w="142"/>
        <w:gridCol w:w="476"/>
        <w:gridCol w:w="142"/>
      </w:tblGrid>
      <w:tr>
        <w:tblPrEx>
          <w:tblLayout w:type="fixed"/>
          <w:tblCellMar>
            <w:top w:w="0" w:type="dxa"/>
            <w:left w:w="0" w:type="dxa"/>
            <w:bottom w:w="0" w:type="dxa"/>
            <w:right w:w="0" w:type="dxa"/>
          </w:tblCellMar>
          <w:tblLook w:val="0000"/>
        </w:tblPrEx>
        <w:trPr>
          <w:trHeight w:val="495"/>
        </w:trPr>
        <w:tc>
          <w:tcPr>
            <w:tcW w:w="10628" w:type="dxa"/>
            <w:gridSpan w:val="19"/>
            <w:tcBorders>
              <w:top w:val="nil"/>
              <w:left w:val="nil"/>
              <w:bottom w:val="nil"/>
              <w:right w:val="nil"/>
            </w:tcBorders>
            <w:shd w:val="clear" w:color="auto" w:fill="FFFFFF"/>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ascii="仿宋_GB2312" w:eastAsia="仿宋_GB2312" w:hAnsi="方正小标宋_GBK" w:cs="方正小标宋_GBK" w:hint="eastAsia"/>
                <w:b/>
                <w:color w:val="000000"/>
                <w:kern w:val="0"/>
                <w:sz w:val="30"/>
                <w:szCs w:val="30"/>
                <w:lang w:bidi="ar"/>
              </w:rPr>
              <w:t>国有资产占有使用情况表</w:t>
            </w:r>
          </w:p>
        </w:tc>
        <w:tc>
          <w:tcPr>
            <w:tcW w:w="142" w:type="dxa"/>
            <w:tcBorders>
              <w:top w:val="nil"/>
              <w:left w:val="nil"/>
              <w:bottom w:val="nil"/>
              <w:right w:val="nil"/>
            </w:tcBorders>
            <w:vAlign w:val="center"/>
          </w:tcPr>
          <w:p>
            <w:pPr>
              <w:widowControl/>
              <w:jc w:val="left"/>
              <w:rPr>
                <w:rFonts w:ascii="宋体" w:hAnsi="宋体" w:cs="宋体"/>
                <w:color w:val="000000"/>
                <w:kern w:val="0"/>
                <w:sz w:val="17"/>
                <w:szCs w:val="17"/>
              </w:rPr>
            </w:pPr>
          </w:p>
        </w:tc>
      </w:tr>
      <w:tr>
        <w:tblPrEx>
          <w:tblLayout w:type="fixed"/>
          <w:tblCellMar>
            <w:top w:w="0" w:type="dxa"/>
            <w:left w:w="0" w:type="dxa"/>
            <w:bottom w:w="0" w:type="dxa"/>
            <w:right w:w="0" w:type="dxa"/>
          </w:tblCellMar>
          <w:tblLook w:val="0000"/>
        </w:tblPrEx>
        <w:trPr>
          <w:trHeight w:val="347"/>
        </w:trPr>
        <w:tc>
          <w:tcPr>
            <w:tcW w:w="4680" w:type="dxa"/>
            <w:gridSpan w:val="8"/>
            <w:tcBorders>
              <w:top w:val="nil"/>
              <w:left w:val="nil"/>
              <w:bottom w:val="single" w:sz="4" w:space="0" w:color="808080"/>
              <w:right w:val="nil"/>
            </w:tcBorders>
            <w:shd w:val="clear" w:color="auto" w:fill="FFFFFF"/>
            <w:tcMar>
              <w:top w:w="15" w:type="dxa"/>
              <w:left w:w="15" w:type="dxa"/>
              <w:bottom w:w="15" w:type="dxa"/>
              <w:right w:w="15" w:type="dxa"/>
            </w:tcMar>
            <w:vAlign w:val="center"/>
          </w:tcPr>
          <w:p>
            <w:pPr>
              <w:widowControl/>
              <w:jc w:val="left"/>
              <w:textAlignment w:val="center"/>
              <w:rPr>
                <w:rFonts w:ascii="宋体" w:hAnsi="宋体" w:cs="宋体"/>
                <w:color w:val="000000"/>
                <w:kern w:val="0"/>
                <w:sz w:val="24"/>
                <w:szCs w:val="24"/>
              </w:rPr>
            </w:pPr>
            <w:r>
              <w:rPr>
                <w:rFonts w:ascii="宋体" w:hAnsi="宋体" w:cs="宋体" w:hint="eastAsia"/>
                <w:color w:val="000000"/>
                <w:kern w:val="0"/>
                <w:sz w:val="20"/>
                <w:szCs w:val="20"/>
              </w:rPr>
              <w:t> </w:t>
            </w:r>
          </w:p>
        </w:tc>
        <w:tc>
          <w:tcPr>
            <w:tcW w:w="865" w:type="dxa"/>
            <w:tcBorders>
              <w:top w:val="nil"/>
              <w:left w:val="nil"/>
              <w:bottom w:val="single" w:sz="4" w:space="0" w:color="808080"/>
              <w:right w:val="nil"/>
            </w:tcBorders>
            <w:shd w:val="clear" w:color="auto" w:fill="FFFFFF"/>
            <w:tcMar>
              <w:top w:w="15" w:type="dxa"/>
              <w:left w:w="15" w:type="dxa"/>
              <w:bottom w:w="15" w:type="dxa"/>
              <w:right w:w="15" w:type="dxa"/>
            </w:tcMar>
            <w:vAlign w:val="center"/>
          </w:tcPr>
          <w:p>
            <w:pPr>
              <w:widowControl/>
              <w:jc w:val="left"/>
              <w:rPr>
                <w:rFonts w:ascii="宋体" w:hAnsi="宋体" w:cs="宋体"/>
                <w:color w:val="000000"/>
                <w:kern w:val="0"/>
                <w:sz w:val="24"/>
                <w:szCs w:val="24"/>
              </w:rPr>
            </w:pPr>
            <w:r>
              <w:rPr>
                <w:rFonts w:ascii="宋体" w:hAnsi="宋体" w:cs="宋体" w:hint="eastAsia"/>
                <w:color w:val="000000"/>
                <w:kern w:val="0"/>
                <w:sz w:val="20"/>
                <w:szCs w:val="20"/>
              </w:rPr>
              <w:t> </w:t>
            </w:r>
          </w:p>
        </w:tc>
        <w:tc>
          <w:tcPr>
            <w:tcW w:w="974" w:type="dxa"/>
            <w:gridSpan w:val="2"/>
            <w:tcBorders>
              <w:top w:val="nil"/>
              <w:left w:val="nil"/>
              <w:bottom w:val="single" w:sz="4" w:space="0" w:color="808080"/>
              <w:right w:val="nil"/>
            </w:tcBorders>
            <w:shd w:val="clear" w:color="auto" w:fill="FFFFFF"/>
            <w:tcMar>
              <w:top w:w="15" w:type="dxa"/>
              <w:left w:w="15" w:type="dxa"/>
              <w:bottom w:w="15" w:type="dxa"/>
              <w:right w:w="15" w:type="dxa"/>
            </w:tcMar>
            <w:vAlign w:val="center"/>
          </w:tcPr>
          <w:p>
            <w:pPr>
              <w:widowControl/>
              <w:jc w:val="left"/>
              <w:rPr>
                <w:rFonts w:ascii="宋体" w:hAnsi="宋体" w:cs="宋体"/>
                <w:color w:val="000000"/>
                <w:kern w:val="0"/>
                <w:sz w:val="24"/>
                <w:szCs w:val="24"/>
              </w:rPr>
            </w:pPr>
            <w:r>
              <w:rPr>
                <w:rFonts w:ascii="宋体" w:hAnsi="宋体" w:cs="宋体" w:hint="eastAsia"/>
                <w:color w:val="000000"/>
                <w:kern w:val="0"/>
                <w:sz w:val="20"/>
                <w:szCs w:val="20"/>
              </w:rPr>
              <w:t> </w:t>
            </w:r>
          </w:p>
        </w:tc>
        <w:tc>
          <w:tcPr>
            <w:tcW w:w="196" w:type="dxa"/>
            <w:tcBorders>
              <w:top w:val="nil"/>
              <w:left w:val="nil"/>
              <w:bottom w:val="single" w:sz="4" w:space="0" w:color="808080"/>
              <w:right w:val="nil"/>
            </w:tcBorders>
            <w:shd w:val="clear" w:color="auto" w:fill="FFFFFF"/>
            <w:tcMar>
              <w:top w:w="15" w:type="dxa"/>
              <w:left w:w="15" w:type="dxa"/>
              <w:bottom w:w="15" w:type="dxa"/>
              <w:right w:w="15" w:type="dxa"/>
            </w:tcMar>
            <w:vAlign w:val="center"/>
          </w:tcPr>
          <w:p>
            <w:pPr>
              <w:widowControl/>
              <w:jc w:val="left"/>
              <w:rPr>
                <w:rFonts w:ascii="宋体" w:hAnsi="宋体" w:cs="宋体"/>
                <w:color w:val="000000"/>
                <w:kern w:val="0"/>
                <w:sz w:val="24"/>
                <w:szCs w:val="24"/>
              </w:rPr>
            </w:pPr>
            <w:r>
              <w:rPr>
                <w:rFonts w:ascii="宋体" w:hAnsi="宋体" w:cs="宋体" w:hint="eastAsia"/>
                <w:color w:val="000000"/>
                <w:kern w:val="0"/>
                <w:sz w:val="20"/>
                <w:szCs w:val="20"/>
              </w:rPr>
              <w:t> </w:t>
            </w:r>
          </w:p>
        </w:tc>
        <w:tc>
          <w:tcPr>
            <w:tcW w:w="978" w:type="dxa"/>
            <w:tcBorders>
              <w:top w:val="nil"/>
              <w:left w:val="nil"/>
              <w:bottom w:val="single" w:sz="4" w:space="0" w:color="808080"/>
              <w:right w:val="nil"/>
            </w:tcBorders>
            <w:shd w:val="clear" w:color="auto" w:fill="FFFFFF"/>
            <w:tcMar>
              <w:top w:w="15" w:type="dxa"/>
              <w:left w:w="15" w:type="dxa"/>
              <w:bottom w:w="15" w:type="dxa"/>
              <w:right w:w="15" w:type="dxa"/>
            </w:tcMar>
            <w:vAlign w:val="center"/>
          </w:tcPr>
          <w:p>
            <w:pPr>
              <w:widowControl/>
              <w:jc w:val="left"/>
              <w:rPr>
                <w:rFonts w:ascii="宋体" w:hAnsi="宋体" w:cs="宋体"/>
                <w:color w:val="000000"/>
                <w:kern w:val="0"/>
                <w:sz w:val="24"/>
                <w:szCs w:val="24"/>
              </w:rPr>
            </w:pPr>
            <w:r>
              <w:rPr>
                <w:rFonts w:ascii="宋体" w:hAnsi="宋体" w:cs="宋体" w:hint="eastAsia"/>
                <w:color w:val="000000"/>
                <w:kern w:val="0"/>
                <w:sz w:val="20"/>
                <w:szCs w:val="20"/>
              </w:rPr>
              <w:t> </w:t>
            </w:r>
          </w:p>
        </w:tc>
        <w:tc>
          <w:tcPr>
            <w:tcW w:w="979" w:type="dxa"/>
            <w:tcBorders>
              <w:top w:val="nil"/>
              <w:left w:val="nil"/>
              <w:bottom w:val="single" w:sz="4" w:space="0" w:color="808080"/>
              <w:right w:val="nil"/>
            </w:tcBorders>
            <w:shd w:val="clear" w:color="auto" w:fill="FFFFFF"/>
            <w:tcMar>
              <w:top w:w="15" w:type="dxa"/>
              <w:left w:w="15" w:type="dxa"/>
              <w:bottom w:w="15" w:type="dxa"/>
              <w:right w:w="15" w:type="dxa"/>
            </w:tcMar>
            <w:vAlign w:val="center"/>
          </w:tcPr>
          <w:p>
            <w:pPr>
              <w:widowControl/>
              <w:jc w:val="left"/>
              <w:rPr>
                <w:rFonts w:ascii="宋体" w:hAnsi="宋体" w:cs="宋体"/>
                <w:color w:val="000000"/>
                <w:kern w:val="0"/>
                <w:sz w:val="24"/>
                <w:szCs w:val="24"/>
              </w:rPr>
            </w:pPr>
            <w:r>
              <w:rPr>
                <w:rFonts w:ascii="宋体" w:hAnsi="宋体" w:cs="宋体" w:hint="eastAsia"/>
                <w:color w:val="000000"/>
                <w:kern w:val="0"/>
                <w:sz w:val="20"/>
                <w:szCs w:val="20"/>
              </w:rPr>
              <w:t> </w:t>
            </w:r>
          </w:p>
        </w:tc>
        <w:tc>
          <w:tcPr>
            <w:tcW w:w="1956" w:type="dxa"/>
            <w:gridSpan w:val="5"/>
            <w:tcBorders>
              <w:top w:val="nil"/>
              <w:left w:val="nil"/>
              <w:bottom w:val="single" w:sz="4" w:space="0" w:color="808080"/>
              <w:right w:val="nil"/>
            </w:tcBorders>
            <w:shd w:val="clear" w:color="auto" w:fill="FFFFFF"/>
            <w:tcMar>
              <w:top w:w="15" w:type="dxa"/>
              <w:left w:w="15" w:type="dxa"/>
              <w:bottom w:w="15" w:type="dxa"/>
              <w:right w:w="15" w:type="dxa"/>
            </w:tcMar>
            <w:vAlign w:val="center"/>
          </w:tcPr>
          <w:p>
            <w:pPr>
              <w:widowControl/>
              <w:jc w:val="right"/>
              <w:textAlignment w:val="center"/>
              <w:rPr>
                <w:rFonts w:ascii="宋体" w:hAnsi="宋体" w:cs="宋体"/>
                <w:color w:val="000000"/>
                <w:kern w:val="0"/>
                <w:sz w:val="24"/>
                <w:szCs w:val="24"/>
              </w:rPr>
            </w:pPr>
            <w:r>
              <w:rPr>
                <w:rFonts w:ascii="宋体" w:hAnsi="宋体" w:cs="宋体" w:hint="eastAsia"/>
                <w:color w:val="000000"/>
                <w:kern w:val="0"/>
                <w:sz w:val="20"/>
                <w:szCs w:val="20"/>
                <w:lang w:bidi="ar"/>
              </w:rPr>
              <w:t>单位：万元</w:t>
            </w:r>
          </w:p>
        </w:tc>
        <w:tc>
          <w:tcPr>
            <w:tcW w:w="142" w:type="dxa"/>
            <w:tcBorders>
              <w:top w:val="nil"/>
              <w:left w:val="nil"/>
              <w:bottom w:val="nil"/>
              <w:right w:val="nil"/>
            </w:tcBorders>
            <w:vAlign w:val="center"/>
          </w:tcPr>
          <w:p>
            <w:pPr>
              <w:widowControl/>
              <w:jc w:val="left"/>
              <w:rPr>
                <w:rFonts w:ascii="宋体" w:hAnsi="宋体" w:cs="宋体"/>
                <w:color w:val="000000"/>
                <w:kern w:val="0"/>
                <w:sz w:val="17"/>
                <w:szCs w:val="17"/>
              </w:rPr>
            </w:pPr>
          </w:p>
        </w:tc>
      </w:tr>
      <w:tr>
        <w:tblPrEx>
          <w:tblLayout w:type="fixed"/>
          <w:tblCellMar>
            <w:top w:w="0" w:type="dxa"/>
            <w:left w:w="0" w:type="dxa"/>
            <w:bottom w:w="0" w:type="dxa"/>
            <w:right w:w="0" w:type="dxa"/>
          </w:tblCellMar>
          <w:tblLook w:val="0000"/>
        </w:tblPrEx>
        <w:trPr>
          <w:trHeight w:val="415"/>
        </w:trPr>
        <w:tc>
          <w:tcPr>
            <w:tcW w:w="715"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ascii="宋体" w:hAnsi="宋体" w:cs="宋体" w:hint="eastAsia"/>
                <w:color w:val="000000"/>
                <w:kern w:val="0"/>
                <w:sz w:val="20"/>
                <w:szCs w:val="20"/>
                <w:lang w:bidi="ar"/>
              </w:rPr>
              <w:t>项目</w:t>
            </w:r>
          </w:p>
        </w:tc>
        <w:tc>
          <w:tcPr>
            <w:tcW w:w="546"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ascii="宋体" w:hAnsi="宋体" w:cs="宋体" w:hint="eastAsia"/>
                <w:color w:val="000000"/>
                <w:kern w:val="0"/>
                <w:sz w:val="20"/>
                <w:szCs w:val="20"/>
                <w:lang w:bidi="ar"/>
              </w:rPr>
              <w:t>行次</w:t>
            </w:r>
          </w:p>
        </w:tc>
        <w:tc>
          <w:tcPr>
            <w:tcW w:w="70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ascii="宋体" w:hAnsi="宋体" w:cs="宋体" w:hint="eastAsia"/>
                <w:color w:val="000000"/>
                <w:kern w:val="0"/>
                <w:sz w:val="20"/>
                <w:szCs w:val="20"/>
                <w:lang w:bidi="ar"/>
              </w:rPr>
              <w:t>资产总额</w:t>
            </w:r>
          </w:p>
        </w:tc>
        <w:tc>
          <w:tcPr>
            <w:tcW w:w="684"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ascii="宋体" w:hAnsi="宋体" w:cs="宋体" w:hint="eastAsia"/>
                <w:color w:val="000000"/>
                <w:kern w:val="0"/>
                <w:sz w:val="20"/>
                <w:szCs w:val="20"/>
                <w:lang w:bidi="ar"/>
              </w:rPr>
              <w:t>流动资产</w:t>
            </w:r>
          </w:p>
        </w:tc>
        <w:tc>
          <w:tcPr>
            <w:tcW w:w="4070" w:type="dxa"/>
            <w:gridSpan w:val="8"/>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ascii="宋体" w:hAnsi="宋体" w:cs="宋体" w:hint="eastAsia"/>
                <w:color w:val="000000"/>
                <w:kern w:val="0"/>
                <w:sz w:val="20"/>
                <w:szCs w:val="20"/>
                <w:lang w:bidi="ar"/>
              </w:rPr>
              <w:t>固定资产</w:t>
            </w:r>
          </w:p>
        </w:tc>
        <w:tc>
          <w:tcPr>
            <w:tcW w:w="978"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ascii="宋体" w:hAnsi="宋体" w:cs="宋体" w:hint="eastAsia"/>
                <w:color w:val="000000"/>
                <w:kern w:val="0"/>
                <w:sz w:val="20"/>
                <w:szCs w:val="20"/>
                <w:lang w:bidi="ar"/>
              </w:rPr>
              <w:t>对外投资/有价证券</w:t>
            </w:r>
          </w:p>
        </w:tc>
        <w:tc>
          <w:tcPr>
            <w:tcW w:w="979"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ascii="宋体" w:hAnsi="宋体" w:cs="宋体" w:hint="eastAsia"/>
                <w:color w:val="000000"/>
                <w:kern w:val="0"/>
                <w:sz w:val="20"/>
                <w:szCs w:val="20"/>
                <w:lang w:bidi="ar"/>
              </w:rPr>
              <w:t>在建工程</w:t>
            </w:r>
          </w:p>
        </w:tc>
        <w:tc>
          <w:tcPr>
            <w:tcW w:w="978" w:type="dxa"/>
            <w:gridSpan w:val="2"/>
            <w:vMerge w:val="restart"/>
            <w:tcBorders>
              <w:top w:val="nil"/>
              <w:left w:val="single" w:sz="4" w:space="0" w:color="000000"/>
              <w:bottom w:val="single" w:sz="4" w:space="0" w:color="000000"/>
              <w:right w:val="single" w:sz="4" w:space="0" w:color="00000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ascii="宋体" w:hAnsi="宋体" w:cs="宋体" w:hint="eastAsia"/>
                <w:color w:val="000000"/>
                <w:kern w:val="0"/>
                <w:sz w:val="20"/>
                <w:szCs w:val="20"/>
                <w:lang w:bidi="ar"/>
              </w:rPr>
              <w:t>无形资产</w:t>
            </w:r>
          </w:p>
        </w:tc>
        <w:tc>
          <w:tcPr>
            <w:tcW w:w="978" w:type="dxa"/>
            <w:gridSpan w:val="3"/>
            <w:vMerge w:val="restart"/>
            <w:tcBorders>
              <w:top w:val="nil"/>
              <w:left w:val="single" w:sz="4" w:space="0" w:color="000000"/>
              <w:bottom w:val="single" w:sz="4" w:space="0" w:color="000000"/>
              <w:right w:val="single" w:sz="4" w:space="0" w:color="00000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ascii="宋体" w:hAnsi="宋体" w:cs="宋体" w:hint="eastAsia"/>
                <w:color w:val="000000"/>
                <w:kern w:val="0"/>
                <w:sz w:val="20"/>
                <w:szCs w:val="20"/>
                <w:lang w:bidi="ar"/>
              </w:rPr>
              <w:t>其他资产</w:t>
            </w:r>
          </w:p>
        </w:tc>
        <w:tc>
          <w:tcPr>
            <w:tcW w:w="142" w:type="dxa"/>
            <w:tcBorders>
              <w:top w:val="nil"/>
              <w:left w:val="nil"/>
              <w:bottom w:val="nil"/>
              <w:right w:val="nil"/>
            </w:tcBorders>
            <w:vAlign w:val="center"/>
          </w:tcPr>
          <w:p>
            <w:pPr>
              <w:widowControl/>
              <w:jc w:val="left"/>
              <w:rPr>
                <w:rFonts w:ascii="宋体" w:hAnsi="宋体" w:cs="宋体"/>
                <w:color w:val="000000"/>
                <w:kern w:val="0"/>
                <w:sz w:val="17"/>
                <w:szCs w:val="17"/>
              </w:rPr>
            </w:pPr>
          </w:p>
        </w:tc>
      </w:tr>
      <w:tr>
        <w:tblPrEx>
          <w:tblLayout w:type="fixed"/>
          <w:tblCellMar>
            <w:top w:w="0" w:type="dxa"/>
            <w:left w:w="0" w:type="dxa"/>
            <w:bottom w:w="0" w:type="dxa"/>
            <w:right w:w="0" w:type="dxa"/>
          </w:tblCellMar>
          <w:tblLook w:val="0000"/>
        </w:tblPrEx>
        <w:trPr>
          <w:trHeight w:val="345"/>
        </w:trPr>
        <w:tc>
          <w:tcPr>
            <w:tcW w:w="0" w:type="dxa"/>
            <w:vMerge/>
            <w:tcBorders>
              <w:top w:val="single" w:sz="4" w:space="0" w:color="000000"/>
              <w:left w:val="single" w:sz="4" w:space="0" w:color="000000"/>
              <w:bottom w:val="single" w:sz="4" w:space="0" w:color="000000"/>
              <w:right w:val="single" w:sz="4" w:space="0" w:color="000000"/>
            </w:tcBorders>
            <w:vAlign w:val="center"/>
          </w:tcPr>
          <w:p>
            <w:pPr>
              <w:widowControl/>
              <w:jc w:val="left"/>
              <w:rPr>
                <w:rFonts w:ascii="宋体" w:hAnsi="宋体" w:cs="宋体"/>
                <w:color w:val="000000"/>
                <w:kern w:val="0"/>
                <w:sz w:val="24"/>
                <w:szCs w:val="24"/>
              </w:rPr>
            </w:pPr>
          </w:p>
        </w:tc>
        <w:tc>
          <w:tcPr>
            <w:tcW w:w="0" w:type="dxa"/>
            <w:vMerge/>
            <w:tcBorders>
              <w:top w:val="single" w:sz="4" w:space="0" w:color="000000"/>
              <w:left w:val="single" w:sz="4" w:space="0" w:color="000000"/>
              <w:bottom w:val="single" w:sz="4" w:space="0" w:color="000000"/>
              <w:right w:val="single" w:sz="4" w:space="0" w:color="000000"/>
            </w:tcBorders>
            <w:vAlign w:val="center"/>
          </w:tcPr>
          <w:p>
            <w:pPr>
              <w:widowControl/>
              <w:jc w:val="left"/>
              <w:rPr>
                <w:rFonts w:ascii="宋体" w:hAnsi="宋体" w:cs="宋体"/>
                <w:color w:val="000000"/>
                <w:kern w:val="0"/>
                <w:sz w:val="24"/>
                <w:szCs w:val="24"/>
              </w:rPr>
            </w:pPr>
          </w:p>
        </w:tc>
        <w:tc>
          <w:tcPr>
            <w:tcW w:w="0" w:type="dxa"/>
            <w:vMerge/>
            <w:tcBorders>
              <w:top w:val="single" w:sz="4" w:space="0" w:color="000000"/>
              <w:left w:val="single" w:sz="4" w:space="0" w:color="000000"/>
              <w:bottom w:val="single" w:sz="4" w:space="0" w:color="000000"/>
              <w:right w:val="single" w:sz="4" w:space="0" w:color="000000"/>
            </w:tcBorders>
            <w:vAlign w:val="center"/>
          </w:tcPr>
          <w:p>
            <w:pPr>
              <w:widowControl/>
              <w:jc w:val="left"/>
              <w:rPr>
                <w:rFonts w:ascii="宋体" w:hAnsi="宋体" w:cs="宋体"/>
                <w:color w:val="000000"/>
                <w:kern w:val="0"/>
                <w:sz w:val="24"/>
                <w:szCs w:val="24"/>
              </w:rPr>
            </w:pPr>
          </w:p>
        </w:tc>
        <w:tc>
          <w:tcPr>
            <w:tcW w:w="0" w:type="dxa"/>
            <w:vMerge/>
            <w:tcBorders>
              <w:top w:val="single" w:sz="4" w:space="0" w:color="000000"/>
              <w:left w:val="single" w:sz="4" w:space="0" w:color="000000"/>
              <w:bottom w:val="single" w:sz="4" w:space="0" w:color="000000"/>
              <w:right w:val="single" w:sz="4" w:space="0" w:color="000000"/>
            </w:tcBorders>
            <w:vAlign w:val="center"/>
          </w:tcPr>
          <w:p>
            <w:pPr>
              <w:widowControl/>
              <w:jc w:val="left"/>
              <w:rPr>
                <w:rFonts w:ascii="宋体" w:hAnsi="宋体" w:cs="宋体"/>
                <w:color w:val="000000"/>
                <w:kern w:val="0"/>
                <w:sz w:val="24"/>
                <w:szCs w:val="24"/>
              </w:rPr>
            </w:pPr>
          </w:p>
        </w:tc>
        <w:tc>
          <w:tcPr>
            <w:tcW w:w="474"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ascii="宋体" w:hAnsi="宋体" w:cs="宋体" w:hint="eastAsia"/>
                <w:color w:val="000000"/>
                <w:kern w:val="0"/>
                <w:sz w:val="20"/>
                <w:szCs w:val="20"/>
                <w:lang w:bidi="ar"/>
              </w:rPr>
              <w:t>小计</w:t>
            </w:r>
          </w:p>
        </w:tc>
        <w:tc>
          <w:tcPr>
            <w:tcW w:w="725"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ascii="宋体" w:hAnsi="宋体" w:cs="宋体" w:hint="eastAsia"/>
                <w:color w:val="000000"/>
                <w:kern w:val="0"/>
                <w:sz w:val="20"/>
                <w:szCs w:val="20"/>
                <w:lang w:bidi="ar"/>
              </w:rPr>
              <w:t>房屋构筑物</w:t>
            </w:r>
          </w:p>
        </w:tc>
        <w:tc>
          <w:tcPr>
            <w:tcW w:w="769"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ascii="宋体" w:hAnsi="宋体" w:cs="宋体" w:hint="eastAsia"/>
                <w:color w:val="000000"/>
                <w:kern w:val="0"/>
                <w:sz w:val="20"/>
                <w:szCs w:val="20"/>
                <w:lang w:bidi="ar"/>
              </w:rPr>
              <w:t>车辆</w:t>
            </w:r>
          </w:p>
        </w:tc>
        <w:tc>
          <w:tcPr>
            <w:tcW w:w="1263" w:type="dxa"/>
            <w:gridSpan w:val="3"/>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ascii="宋体" w:hAnsi="宋体" w:cs="宋体" w:hint="eastAsia"/>
                <w:color w:val="000000"/>
                <w:kern w:val="0"/>
                <w:sz w:val="20"/>
                <w:szCs w:val="20"/>
                <w:lang w:bidi="ar"/>
              </w:rPr>
              <w:t>单价200万以上大型设备</w:t>
            </w:r>
          </w:p>
        </w:tc>
        <w:tc>
          <w:tcPr>
            <w:tcW w:w="839" w:type="dxa"/>
            <w:gridSpan w:val="2"/>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ascii="宋体" w:hAnsi="宋体" w:cs="宋体" w:hint="eastAsia"/>
                <w:color w:val="000000"/>
                <w:kern w:val="0"/>
                <w:sz w:val="20"/>
                <w:szCs w:val="20"/>
                <w:lang w:bidi="ar"/>
              </w:rPr>
              <w:t>其他固定资产</w:t>
            </w:r>
          </w:p>
        </w:tc>
        <w:tc>
          <w:tcPr>
            <w:tcW w:w="0" w:type="dxa"/>
            <w:vMerge/>
            <w:tcBorders>
              <w:top w:val="single" w:sz="4" w:space="0" w:color="000000"/>
              <w:left w:val="single" w:sz="4" w:space="0" w:color="000000"/>
              <w:bottom w:val="single" w:sz="4" w:space="0" w:color="000000"/>
              <w:right w:val="single" w:sz="4" w:space="0" w:color="000000"/>
            </w:tcBorders>
            <w:vAlign w:val="center"/>
          </w:tcPr>
          <w:p>
            <w:pPr>
              <w:widowControl/>
              <w:jc w:val="left"/>
              <w:rPr>
                <w:rFonts w:ascii="宋体" w:hAnsi="宋体" w:cs="宋体"/>
                <w:color w:val="000000"/>
                <w:kern w:val="0"/>
                <w:sz w:val="24"/>
                <w:szCs w:val="24"/>
              </w:rPr>
            </w:pPr>
          </w:p>
        </w:tc>
        <w:tc>
          <w:tcPr>
            <w:tcW w:w="0" w:type="dxa"/>
            <w:vMerge/>
            <w:tcBorders>
              <w:top w:val="single" w:sz="4" w:space="0" w:color="000000"/>
              <w:left w:val="single" w:sz="4" w:space="0" w:color="000000"/>
              <w:bottom w:val="single" w:sz="4" w:space="0" w:color="000000"/>
              <w:right w:val="single" w:sz="4" w:space="0" w:color="000000"/>
            </w:tcBorders>
            <w:vAlign w:val="center"/>
          </w:tcPr>
          <w:p>
            <w:pPr>
              <w:widowControl/>
              <w:jc w:val="left"/>
              <w:rPr>
                <w:rFonts w:ascii="宋体" w:hAnsi="宋体" w:cs="宋体"/>
                <w:color w:val="000000"/>
                <w:kern w:val="0"/>
                <w:sz w:val="24"/>
                <w:szCs w:val="24"/>
              </w:rPr>
            </w:pPr>
          </w:p>
        </w:tc>
        <w:tc>
          <w:tcPr>
            <w:tcW w:w="0" w:type="dxa"/>
            <w:gridSpan w:val="2"/>
            <w:vMerge/>
            <w:tcBorders>
              <w:top w:val="nil"/>
              <w:left w:val="single" w:sz="4" w:space="0" w:color="000000"/>
              <w:bottom w:val="single" w:sz="4" w:space="0" w:color="000000"/>
              <w:right w:val="single" w:sz="4" w:space="0" w:color="000000"/>
            </w:tcBorders>
            <w:vAlign w:val="center"/>
          </w:tcPr>
          <w:p>
            <w:pPr>
              <w:widowControl/>
              <w:jc w:val="left"/>
              <w:rPr>
                <w:rFonts w:ascii="宋体" w:hAnsi="宋体" w:cs="宋体"/>
                <w:color w:val="000000"/>
                <w:kern w:val="0"/>
                <w:sz w:val="24"/>
                <w:szCs w:val="24"/>
              </w:rPr>
            </w:pPr>
          </w:p>
        </w:tc>
        <w:tc>
          <w:tcPr>
            <w:tcW w:w="0" w:type="dxa"/>
            <w:gridSpan w:val="3"/>
            <w:vMerge/>
            <w:tcBorders>
              <w:top w:val="nil"/>
              <w:left w:val="single" w:sz="4" w:space="0" w:color="000000"/>
              <w:bottom w:val="single" w:sz="4" w:space="0" w:color="000000"/>
              <w:right w:val="single" w:sz="4" w:space="0" w:color="000000"/>
            </w:tcBorders>
            <w:vAlign w:val="center"/>
          </w:tcPr>
          <w:p>
            <w:pPr>
              <w:widowControl/>
              <w:jc w:val="left"/>
              <w:rPr>
                <w:rFonts w:ascii="宋体" w:hAnsi="宋体" w:cs="宋体"/>
                <w:color w:val="000000"/>
                <w:kern w:val="0"/>
                <w:sz w:val="24"/>
                <w:szCs w:val="24"/>
              </w:rPr>
            </w:pPr>
          </w:p>
        </w:tc>
        <w:tc>
          <w:tcPr>
            <w:tcW w:w="142" w:type="dxa"/>
            <w:tcBorders>
              <w:top w:val="nil"/>
              <w:left w:val="nil"/>
              <w:bottom w:val="nil"/>
              <w:right w:val="nil"/>
            </w:tcBorders>
            <w:vAlign w:val="center"/>
          </w:tcPr>
          <w:p>
            <w:pPr>
              <w:widowControl/>
              <w:jc w:val="left"/>
              <w:rPr>
                <w:rFonts w:ascii="宋体" w:hAnsi="宋体" w:cs="宋体"/>
                <w:color w:val="000000"/>
                <w:kern w:val="0"/>
                <w:sz w:val="17"/>
                <w:szCs w:val="17"/>
              </w:rPr>
            </w:pPr>
          </w:p>
        </w:tc>
      </w:tr>
      <w:tr>
        <w:tblPrEx>
          <w:tblLayout w:type="fixed"/>
          <w:tblCellMar>
            <w:top w:w="0" w:type="dxa"/>
            <w:left w:w="0" w:type="dxa"/>
            <w:bottom w:w="0" w:type="dxa"/>
            <w:right w:w="0" w:type="dxa"/>
          </w:tblCellMar>
          <w:tblLook w:val="0000"/>
        </w:tblPrEx>
        <w:trPr>
          <w:trHeight w:val="395"/>
        </w:trPr>
        <w:tc>
          <w:tcPr>
            <w:tcW w:w="0" w:type="dxa"/>
            <w:vMerge/>
            <w:tcBorders>
              <w:top w:val="single" w:sz="4" w:space="0" w:color="000000"/>
              <w:left w:val="single" w:sz="4" w:space="0" w:color="000000"/>
              <w:bottom w:val="single" w:sz="4" w:space="0" w:color="000000"/>
              <w:right w:val="single" w:sz="4" w:space="0" w:color="000000"/>
            </w:tcBorders>
            <w:vAlign w:val="center"/>
          </w:tcPr>
          <w:p>
            <w:pPr>
              <w:widowControl/>
              <w:jc w:val="left"/>
              <w:rPr>
                <w:rFonts w:ascii="宋体" w:hAnsi="宋体" w:cs="宋体"/>
                <w:color w:val="000000"/>
                <w:kern w:val="0"/>
                <w:sz w:val="24"/>
                <w:szCs w:val="24"/>
              </w:rPr>
            </w:pPr>
          </w:p>
        </w:tc>
        <w:tc>
          <w:tcPr>
            <w:tcW w:w="0" w:type="dxa"/>
            <w:vMerge/>
            <w:tcBorders>
              <w:top w:val="single" w:sz="4" w:space="0" w:color="000000"/>
              <w:left w:val="single" w:sz="4" w:space="0" w:color="000000"/>
              <w:bottom w:val="single" w:sz="4" w:space="0" w:color="000000"/>
              <w:right w:val="single" w:sz="4" w:space="0" w:color="000000"/>
            </w:tcBorders>
            <w:vAlign w:val="center"/>
          </w:tcPr>
          <w:p>
            <w:pPr>
              <w:widowControl/>
              <w:jc w:val="left"/>
              <w:rPr>
                <w:rFonts w:ascii="宋体" w:hAnsi="宋体" w:cs="宋体"/>
                <w:color w:val="000000"/>
                <w:kern w:val="0"/>
                <w:sz w:val="24"/>
                <w:szCs w:val="24"/>
              </w:rPr>
            </w:pPr>
          </w:p>
        </w:tc>
        <w:tc>
          <w:tcPr>
            <w:tcW w:w="0" w:type="dxa"/>
            <w:vMerge/>
            <w:tcBorders>
              <w:top w:val="single" w:sz="4" w:space="0" w:color="000000"/>
              <w:left w:val="single" w:sz="4" w:space="0" w:color="000000"/>
              <w:bottom w:val="single" w:sz="4" w:space="0" w:color="000000"/>
              <w:right w:val="single" w:sz="4" w:space="0" w:color="000000"/>
            </w:tcBorders>
            <w:vAlign w:val="center"/>
          </w:tcPr>
          <w:p>
            <w:pPr>
              <w:widowControl/>
              <w:jc w:val="left"/>
              <w:rPr>
                <w:rFonts w:ascii="宋体" w:hAnsi="宋体" w:cs="宋体"/>
                <w:color w:val="000000"/>
                <w:kern w:val="0"/>
                <w:sz w:val="24"/>
                <w:szCs w:val="24"/>
              </w:rPr>
            </w:pPr>
          </w:p>
        </w:tc>
        <w:tc>
          <w:tcPr>
            <w:tcW w:w="0" w:type="dxa"/>
            <w:vMerge/>
            <w:tcBorders>
              <w:top w:val="single" w:sz="4" w:space="0" w:color="000000"/>
              <w:left w:val="single" w:sz="4" w:space="0" w:color="000000"/>
              <w:bottom w:val="single" w:sz="4" w:space="0" w:color="000000"/>
              <w:right w:val="single" w:sz="4" w:space="0" w:color="000000"/>
            </w:tcBorders>
            <w:vAlign w:val="center"/>
          </w:tcPr>
          <w:p>
            <w:pPr>
              <w:widowControl/>
              <w:jc w:val="left"/>
              <w:rPr>
                <w:rFonts w:ascii="宋体" w:hAnsi="宋体" w:cs="宋体"/>
                <w:color w:val="000000"/>
                <w:kern w:val="0"/>
                <w:sz w:val="24"/>
                <w:szCs w:val="24"/>
              </w:rPr>
            </w:pPr>
          </w:p>
        </w:tc>
        <w:tc>
          <w:tcPr>
            <w:tcW w:w="0" w:type="dxa"/>
            <w:vMerge/>
            <w:tcBorders>
              <w:top w:val="single" w:sz="4" w:space="0" w:color="000000"/>
              <w:left w:val="single" w:sz="4" w:space="0" w:color="000000"/>
              <w:bottom w:val="single" w:sz="4" w:space="0" w:color="000000"/>
              <w:right w:val="single" w:sz="4" w:space="0" w:color="000000"/>
            </w:tcBorders>
            <w:vAlign w:val="center"/>
          </w:tcPr>
          <w:p>
            <w:pPr>
              <w:widowControl/>
              <w:jc w:val="left"/>
              <w:rPr>
                <w:rFonts w:ascii="宋体" w:hAnsi="宋体" w:cs="宋体"/>
                <w:color w:val="000000"/>
                <w:kern w:val="0"/>
                <w:sz w:val="24"/>
                <w:szCs w:val="24"/>
              </w:rPr>
            </w:pPr>
          </w:p>
        </w:tc>
        <w:tc>
          <w:tcPr>
            <w:tcW w:w="0" w:type="dxa"/>
            <w:vMerge/>
            <w:tcBorders>
              <w:top w:val="single" w:sz="4" w:space="0" w:color="000000"/>
              <w:left w:val="single" w:sz="4" w:space="0" w:color="000000"/>
              <w:bottom w:val="single" w:sz="4" w:space="0" w:color="000000"/>
              <w:right w:val="single" w:sz="4" w:space="0" w:color="000000"/>
            </w:tcBorders>
            <w:vAlign w:val="center"/>
          </w:tcPr>
          <w:p>
            <w:pPr>
              <w:widowControl/>
              <w:jc w:val="left"/>
              <w:rPr>
                <w:rFonts w:ascii="宋体" w:hAnsi="宋体" w:cs="宋体"/>
                <w:color w:val="000000"/>
                <w:kern w:val="0"/>
                <w:sz w:val="24"/>
                <w:szCs w:val="24"/>
              </w:rPr>
            </w:pPr>
          </w:p>
        </w:tc>
        <w:tc>
          <w:tcPr>
            <w:tcW w:w="0" w:type="dxa"/>
            <w:vMerge/>
            <w:tcBorders>
              <w:top w:val="single" w:sz="4" w:space="0" w:color="000000"/>
              <w:left w:val="single" w:sz="4" w:space="0" w:color="000000"/>
              <w:bottom w:val="single" w:sz="4" w:space="0" w:color="000000"/>
              <w:right w:val="single" w:sz="4" w:space="0" w:color="000000"/>
            </w:tcBorders>
            <w:vAlign w:val="center"/>
          </w:tcPr>
          <w:p>
            <w:pPr>
              <w:widowControl/>
              <w:jc w:val="left"/>
              <w:rPr>
                <w:rFonts w:ascii="宋体" w:hAnsi="宋体" w:cs="宋体"/>
                <w:color w:val="000000"/>
                <w:kern w:val="0"/>
                <w:sz w:val="24"/>
                <w:szCs w:val="24"/>
              </w:rPr>
            </w:pPr>
          </w:p>
        </w:tc>
        <w:tc>
          <w:tcPr>
            <w:tcW w:w="0" w:type="dxa"/>
            <w:gridSpan w:val="3"/>
            <w:vMerge/>
            <w:tcBorders>
              <w:top w:val="single" w:sz="4" w:space="0" w:color="000000"/>
              <w:left w:val="single" w:sz="4" w:space="0" w:color="000000"/>
              <w:bottom w:val="single" w:sz="4" w:space="0" w:color="000000"/>
              <w:right w:val="single" w:sz="4" w:space="0" w:color="000000"/>
            </w:tcBorders>
            <w:vAlign w:val="center"/>
          </w:tcPr>
          <w:p>
            <w:pPr>
              <w:widowControl/>
              <w:jc w:val="left"/>
              <w:rPr>
                <w:rFonts w:ascii="宋体" w:hAnsi="宋体" w:cs="宋体"/>
                <w:color w:val="000000"/>
                <w:kern w:val="0"/>
                <w:sz w:val="24"/>
                <w:szCs w:val="24"/>
              </w:rPr>
            </w:pPr>
          </w:p>
        </w:tc>
        <w:tc>
          <w:tcPr>
            <w:tcW w:w="0" w:type="dxa"/>
            <w:gridSpan w:val="2"/>
            <w:vMerge/>
            <w:tcBorders>
              <w:top w:val="single" w:sz="4" w:space="0" w:color="000000"/>
              <w:left w:val="single" w:sz="4" w:space="0" w:color="000000"/>
              <w:bottom w:val="single" w:sz="4" w:space="0" w:color="000000"/>
              <w:right w:val="single" w:sz="4" w:space="0" w:color="000000"/>
            </w:tcBorders>
            <w:vAlign w:val="center"/>
          </w:tcPr>
          <w:p>
            <w:pPr>
              <w:widowControl/>
              <w:jc w:val="left"/>
              <w:rPr>
                <w:rFonts w:ascii="宋体" w:hAnsi="宋体" w:cs="宋体"/>
                <w:color w:val="000000"/>
                <w:kern w:val="0"/>
                <w:sz w:val="24"/>
                <w:szCs w:val="24"/>
              </w:rPr>
            </w:pPr>
          </w:p>
        </w:tc>
        <w:tc>
          <w:tcPr>
            <w:tcW w:w="0" w:type="dxa"/>
            <w:vMerge/>
            <w:tcBorders>
              <w:top w:val="single" w:sz="4" w:space="0" w:color="000000"/>
              <w:left w:val="single" w:sz="4" w:space="0" w:color="000000"/>
              <w:bottom w:val="single" w:sz="4" w:space="0" w:color="000000"/>
              <w:right w:val="single" w:sz="4" w:space="0" w:color="000000"/>
            </w:tcBorders>
            <w:vAlign w:val="center"/>
          </w:tcPr>
          <w:p>
            <w:pPr>
              <w:widowControl/>
              <w:jc w:val="left"/>
              <w:rPr>
                <w:rFonts w:ascii="宋体" w:hAnsi="宋体" w:cs="宋体"/>
                <w:color w:val="000000"/>
                <w:kern w:val="0"/>
                <w:sz w:val="24"/>
                <w:szCs w:val="24"/>
              </w:rPr>
            </w:pPr>
          </w:p>
        </w:tc>
        <w:tc>
          <w:tcPr>
            <w:tcW w:w="0" w:type="dxa"/>
            <w:vMerge/>
            <w:tcBorders>
              <w:top w:val="single" w:sz="4" w:space="0" w:color="000000"/>
              <w:left w:val="single" w:sz="4" w:space="0" w:color="000000"/>
              <w:bottom w:val="single" w:sz="4" w:space="0" w:color="000000"/>
              <w:right w:val="single" w:sz="4" w:space="0" w:color="000000"/>
            </w:tcBorders>
            <w:vAlign w:val="center"/>
          </w:tcPr>
          <w:p>
            <w:pPr>
              <w:widowControl/>
              <w:jc w:val="left"/>
              <w:rPr>
                <w:rFonts w:ascii="宋体" w:hAnsi="宋体" w:cs="宋体"/>
                <w:color w:val="000000"/>
                <w:kern w:val="0"/>
                <w:sz w:val="24"/>
                <w:szCs w:val="24"/>
              </w:rPr>
            </w:pPr>
          </w:p>
        </w:tc>
        <w:tc>
          <w:tcPr>
            <w:tcW w:w="0" w:type="dxa"/>
            <w:gridSpan w:val="2"/>
            <w:vMerge/>
            <w:tcBorders>
              <w:top w:val="nil"/>
              <w:left w:val="single" w:sz="4" w:space="0" w:color="000000"/>
              <w:bottom w:val="single" w:sz="4" w:space="0" w:color="000000"/>
              <w:right w:val="single" w:sz="4" w:space="0" w:color="000000"/>
            </w:tcBorders>
            <w:vAlign w:val="center"/>
          </w:tcPr>
          <w:p>
            <w:pPr>
              <w:widowControl/>
              <w:jc w:val="left"/>
              <w:rPr>
                <w:rFonts w:ascii="宋体" w:hAnsi="宋体" w:cs="宋体"/>
                <w:color w:val="000000"/>
                <w:kern w:val="0"/>
                <w:sz w:val="24"/>
                <w:szCs w:val="24"/>
              </w:rPr>
            </w:pPr>
          </w:p>
        </w:tc>
        <w:tc>
          <w:tcPr>
            <w:tcW w:w="0" w:type="dxa"/>
            <w:gridSpan w:val="3"/>
            <w:vMerge/>
            <w:tcBorders>
              <w:top w:val="nil"/>
              <w:left w:val="single" w:sz="4" w:space="0" w:color="000000"/>
              <w:bottom w:val="single" w:sz="4" w:space="0" w:color="000000"/>
              <w:right w:val="single" w:sz="4" w:space="0" w:color="000000"/>
            </w:tcBorders>
            <w:vAlign w:val="center"/>
          </w:tcPr>
          <w:p>
            <w:pPr>
              <w:widowControl/>
              <w:jc w:val="left"/>
              <w:rPr>
                <w:rFonts w:ascii="宋体" w:hAnsi="宋体" w:cs="宋体"/>
                <w:color w:val="000000"/>
                <w:kern w:val="0"/>
                <w:sz w:val="24"/>
                <w:szCs w:val="24"/>
              </w:rPr>
            </w:pPr>
          </w:p>
        </w:tc>
        <w:tc>
          <w:tcPr>
            <w:tcW w:w="142" w:type="dxa"/>
            <w:tcBorders>
              <w:top w:val="nil"/>
              <w:left w:val="nil"/>
              <w:bottom w:val="nil"/>
              <w:right w:val="nil"/>
            </w:tcBorders>
            <w:vAlign w:val="center"/>
          </w:tcPr>
          <w:p>
            <w:pPr>
              <w:widowControl/>
              <w:jc w:val="left"/>
              <w:rPr>
                <w:rFonts w:ascii="宋体" w:hAnsi="宋体" w:cs="宋体"/>
                <w:color w:val="000000"/>
                <w:kern w:val="0"/>
                <w:sz w:val="17"/>
                <w:szCs w:val="17"/>
              </w:rPr>
            </w:pPr>
          </w:p>
        </w:tc>
      </w:tr>
      <w:tr>
        <w:tblPrEx>
          <w:tblLayout w:type="fixed"/>
          <w:tblCellMar>
            <w:top w:w="0" w:type="dxa"/>
            <w:left w:w="0" w:type="dxa"/>
            <w:bottom w:w="0" w:type="dxa"/>
            <w:right w:w="0" w:type="dxa"/>
          </w:tblCellMar>
          <w:tblLook w:val="0000"/>
        </w:tblPrEx>
        <w:trPr>
          <w:trHeight w:val="358"/>
        </w:trPr>
        <w:tc>
          <w:tcPr>
            <w:tcW w:w="7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ascii="宋体" w:hAnsi="宋体" w:cs="宋体" w:hint="eastAsia"/>
                <w:color w:val="000000"/>
                <w:kern w:val="0"/>
                <w:sz w:val="20"/>
                <w:szCs w:val="20"/>
                <w:lang w:bidi="ar"/>
              </w:rPr>
              <w:t>栏次</w:t>
            </w:r>
          </w:p>
        </w:tc>
        <w:tc>
          <w:tcPr>
            <w:tcW w:w="5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widowControl/>
              <w:jc w:val="left"/>
              <w:rPr>
                <w:rFonts w:ascii="宋体" w:hAnsi="宋体" w:cs="宋体"/>
                <w:color w:val="000000"/>
                <w:kern w:val="0"/>
                <w:sz w:val="24"/>
                <w:szCs w:val="24"/>
              </w:rPr>
            </w:pPr>
            <w:r>
              <w:rPr>
                <w:rFonts w:ascii="宋体" w:hAnsi="宋体" w:cs="宋体" w:hint="eastAsia"/>
                <w:color w:val="000000"/>
                <w:kern w:val="0"/>
                <w:sz w:val="20"/>
                <w:szCs w:val="20"/>
              </w:rPr>
              <w:t> </w:t>
            </w:r>
          </w:p>
        </w:tc>
        <w:tc>
          <w:tcPr>
            <w:tcW w:w="70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ascii="宋体" w:hAnsi="宋体" w:cs="宋体" w:hint="eastAsia"/>
                <w:color w:val="000000"/>
                <w:kern w:val="0"/>
                <w:sz w:val="20"/>
                <w:szCs w:val="20"/>
                <w:lang w:bidi="ar"/>
              </w:rPr>
              <w:t>1</w:t>
            </w:r>
          </w:p>
        </w:tc>
        <w:tc>
          <w:tcPr>
            <w:tcW w:w="6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ascii="宋体" w:hAnsi="宋体" w:cs="宋体" w:hint="eastAsia"/>
                <w:color w:val="000000"/>
                <w:kern w:val="0"/>
                <w:sz w:val="20"/>
                <w:szCs w:val="20"/>
                <w:lang w:bidi="ar"/>
              </w:rPr>
              <w:t>2</w:t>
            </w:r>
          </w:p>
        </w:tc>
        <w:tc>
          <w:tcPr>
            <w:tcW w:w="47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ascii="宋体" w:hAnsi="宋体" w:cs="宋体" w:hint="eastAsia"/>
                <w:color w:val="000000"/>
                <w:kern w:val="0"/>
                <w:sz w:val="20"/>
                <w:szCs w:val="20"/>
                <w:lang w:bidi="ar"/>
              </w:rPr>
              <w:t>3</w:t>
            </w:r>
          </w:p>
        </w:tc>
        <w:tc>
          <w:tcPr>
            <w:tcW w:w="7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ascii="宋体" w:hAnsi="宋体" w:cs="宋体" w:hint="eastAsia"/>
                <w:color w:val="000000"/>
                <w:kern w:val="0"/>
                <w:sz w:val="20"/>
                <w:szCs w:val="20"/>
                <w:lang w:bidi="ar"/>
              </w:rPr>
              <w:t>4</w:t>
            </w:r>
          </w:p>
        </w:tc>
        <w:tc>
          <w:tcPr>
            <w:tcW w:w="76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ascii="宋体" w:hAnsi="宋体" w:cs="宋体" w:hint="eastAsia"/>
                <w:color w:val="000000"/>
                <w:kern w:val="0"/>
                <w:sz w:val="20"/>
                <w:szCs w:val="20"/>
                <w:lang w:bidi="ar"/>
              </w:rPr>
              <w:t>5</w:t>
            </w:r>
          </w:p>
        </w:tc>
        <w:tc>
          <w:tcPr>
            <w:tcW w:w="1263"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ascii="宋体" w:hAnsi="宋体" w:cs="宋体" w:hint="eastAsia"/>
                <w:color w:val="000000"/>
                <w:kern w:val="0"/>
                <w:sz w:val="20"/>
                <w:szCs w:val="20"/>
                <w:lang w:bidi="ar"/>
              </w:rPr>
              <w:t>6</w:t>
            </w:r>
          </w:p>
        </w:tc>
        <w:tc>
          <w:tcPr>
            <w:tcW w:w="83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ascii="宋体" w:hAnsi="宋体" w:cs="宋体" w:hint="eastAsia"/>
                <w:color w:val="000000"/>
                <w:kern w:val="0"/>
                <w:sz w:val="20"/>
                <w:szCs w:val="20"/>
                <w:lang w:bidi="ar"/>
              </w:rPr>
              <w:t>7</w:t>
            </w:r>
          </w:p>
        </w:tc>
        <w:tc>
          <w:tcPr>
            <w:tcW w:w="97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ascii="宋体" w:hAnsi="宋体" w:cs="宋体" w:hint="eastAsia"/>
                <w:color w:val="000000"/>
                <w:kern w:val="0"/>
                <w:sz w:val="20"/>
                <w:szCs w:val="20"/>
                <w:lang w:bidi="ar"/>
              </w:rPr>
              <w:t>8</w:t>
            </w:r>
          </w:p>
        </w:tc>
        <w:tc>
          <w:tcPr>
            <w:tcW w:w="97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ascii="宋体" w:hAnsi="宋体" w:cs="宋体" w:hint="eastAsia"/>
                <w:color w:val="000000"/>
                <w:kern w:val="0"/>
                <w:sz w:val="20"/>
                <w:szCs w:val="20"/>
                <w:lang w:bidi="ar"/>
              </w:rPr>
              <w:t>9</w:t>
            </w:r>
          </w:p>
        </w:tc>
        <w:tc>
          <w:tcPr>
            <w:tcW w:w="97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ascii="宋体" w:hAnsi="宋体" w:cs="宋体" w:hint="eastAsia"/>
                <w:color w:val="000000"/>
                <w:kern w:val="0"/>
                <w:sz w:val="20"/>
                <w:szCs w:val="20"/>
                <w:lang w:bidi="ar"/>
              </w:rPr>
              <w:t>10</w:t>
            </w:r>
          </w:p>
        </w:tc>
        <w:tc>
          <w:tcPr>
            <w:tcW w:w="978"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ascii="宋体" w:hAnsi="宋体" w:cs="宋体" w:hint="eastAsia"/>
                <w:color w:val="000000"/>
                <w:kern w:val="0"/>
                <w:sz w:val="20"/>
                <w:szCs w:val="20"/>
                <w:lang w:bidi="ar"/>
              </w:rPr>
              <w:t>11</w:t>
            </w:r>
          </w:p>
        </w:tc>
        <w:tc>
          <w:tcPr>
            <w:tcW w:w="142" w:type="dxa"/>
            <w:tcBorders>
              <w:top w:val="nil"/>
              <w:left w:val="nil"/>
              <w:bottom w:val="nil"/>
              <w:right w:val="nil"/>
            </w:tcBorders>
            <w:vAlign w:val="center"/>
          </w:tcPr>
          <w:p>
            <w:pPr>
              <w:widowControl/>
              <w:jc w:val="left"/>
              <w:rPr>
                <w:rFonts w:ascii="宋体" w:hAnsi="宋体" w:cs="宋体"/>
                <w:color w:val="000000"/>
                <w:kern w:val="0"/>
                <w:sz w:val="17"/>
                <w:szCs w:val="17"/>
              </w:rPr>
            </w:pPr>
          </w:p>
        </w:tc>
      </w:tr>
      <w:tr>
        <w:tblPrEx>
          <w:tblLayout w:type="fixed"/>
          <w:tblCellMar>
            <w:top w:w="0" w:type="dxa"/>
            <w:left w:w="0" w:type="dxa"/>
            <w:bottom w:w="0" w:type="dxa"/>
            <w:right w:w="0" w:type="dxa"/>
          </w:tblCellMar>
          <w:tblLook w:val="0000"/>
        </w:tblPrEx>
        <w:trPr>
          <w:trHeight w:val="563"/>
        </w:trPr>
        <w:tc>
          <w:tcPr>
            <w:tcW w:w="71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ascii="宋体" w:hAnsi="宋体" w:cs="宋体" w:hint="eastAsia"/>
                <w:color w:val="000000"/>
                <w:kern w:val="0"/>
                <w:sz w:val="20"/>
                <w:szCs w:val="20"/>
                <w:lang w:bidi="ar"/>
              </w:rPr>
              <w:t>合计</w:t>
            </w:r>
          </w:p>
        </w:tc>
        <w:tc>
          <w:tcPr>
            <w:tcW w:w="546"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widowControl/>
              <w:jc w:val="center"/>
              <w:textAlignment w:val="center"/>
              <w:rPr>
                <w:rFonts w:ascii="宋体" w:hAnsi="宋体" w:cs="宋体"/>
                <w:color w:val="000000"/>
                <w:kern w:val="0"/>
                <w:sz w:val="24"/>
                <w:szCs w:val="24"/>
              </w:rPr>
            </w:pPr>
            <w:r>
              <w:rPr>
                <w:rFonts w:ascii="宋体" w:hAnsi="宋体" w:cs="宋体" w:hint="eastAsia"/>
                <w:color w:val="000000"/>
                <w:kern w:val="0"/>
                <w:sz w:val="20"/>
                <w:szCs w:val="20"/>
                <w:lang w:bidi="ar"/>
              </w:rPr>
              <w:t>1</w:t>
            </w:r>
          </w:p>
        </w:tc>
        <w:tc>
          <w:tcPr>
            <w:tcW w:w="70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widowControl/>
              <w:jc w:val="right"/>
              <w:rPr>
                <w:rFonts w:ascii="宋体" w:hAnsi="宋体" w:cs="宋体"/>
                <w:color w:val="000000"/>
                <w:kern w:val="0"/>
                <w:sz w:val="24"/>
                <w:szCs w:val="24"/>
              </w:rPr>
            </w:pPr>
            <w:r>
              <w:rPr>
                <w:rFonts w:ascii="宋体" w:hAnsi="宋体" w:cs="宋体" w:hint="eastAsia"/>
                <w:color w:val="000000"/>
                <w:kern w:val="0"/>
                <w:sz w:val="20"/>
                <w:szCs w:val="20"/>
                <w:lang w:val="en-US" w:eastAsia="zh-CN"/>
              </w:rPr>
              <w:t>1779.25</w:t>
            </w:r>
            <w:r>
              <w:rPr>
                <w:rFonts w:ascii="宋体" w:hAnsi="宋体" w:cs="宋体" w:hint="eastAsia"/>
                <w:color w:val="000000"/>
                <w:kern w:val="0"/>
                <w:sz w:val="20"/>
                <w:szCs w:val="20"/>
              </w:rPr>
              <w:t> </w:t>
            </w:r>
          </w:p>
        </w:tc>
        <w:tc>
          <w:tcPr>
            <w:tcW w:w="6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widowControl/>
              <w:jc w:val="right"/>
              <w:rPr>
                <w:rFonts w:ascii="宋体" w:hAnsi="宋体" w:cs="宋体"/>
                <w:color w:val="000000"/>
                <w:kern w:val="0"/>
                <w:sz w:val="24"/>
                <w:szCs w:val="24"/>
              </w:rPr>
            </w:pPr>
            <w:r>
              <w:rPr>
                <w:rFonts w:ascii="宋体" w:hAnsi="宋体" w:cs="宋体" w:hint="eastAsia"/>
                <w:color w:val="000000"/>
                <w:kern w:val="0"/>
                <w:sz w:val="20"/>
                <w:szCs w:val="20"/>
                <w:lang w:val="en-US" w:eastAsia="zh-CN"/>
              </w:rPr>
              <w:t>504.21</w:t>
            </w:r>
            <w:r>
              <w:rPr>
                <w:rFonts w:ascii="宋体" w:hAnsi="宋体" w:cs="宋体" w:hint="eastAsia"/>
                <w:color w:val="000000"/>
                <w:kern w:val="0"/>
                <w:sz w:val="20"/>
                <w:szCs w:val="20"/>
              </w:rPr>
              <w:t> </w:t>
            </w:r>
          </w:p>
        </w:tc>
        <w:tc>
          <w:tcPr>
            <w:tcW w:w="47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widowControl/>
              <w:jc w:val="right"/>
              <w:rPr>
                <w:rFonts w:ascii="宋体" w:hAnsi="宋体" w:cs="宋体"/>
                <w:color w:val="000000"/>
                <w:kern w:val="0"/>
                <w:sz w:val="24"/>
                <w:szCs w:val="24"/>
              </w:rPr>
            </w:pPr>
            <w:r>
              <w:rPr>
                <w:rFonts w:ascii="宋体" w:hAnsi="宋体" w:cs="宋体" w:hint="eastAsia"/>
                <w:color w:val="000000"/>
                <w:kern w:val="0"/>
                <w:sz w:val="20"/>
                <w:szCs w:val="20"/>
                <w:lang w:val="en-US" w:eastAsia="zh-CN"/>
              </w:rPr>
              <w:t>809.38</w:t>
            </w:r>
            <w:r>
              <w:rPr>
                <w:rFonts w:ascii="宋体" w:hAnsi="宋体" w:cs="宋体" w:hint="eastAsia"/>
                <w:color w:val="000000"/>
                <w:kern w:val="0"/>
                <w:sz w:val="20"/>
                <w:szCs w:val="20"/>
              </w:rPr>
              <w:t> </w:t>
            </w:r>
          </w:p>
        </w:tc>
        <w:tc>
          <w:tcPr>
            <w:tcW w:w="72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widowControl/>
              <w:jc w:val="right"/>
              <w:rPr>
                <w:rFonts w:ascii="宋体" w:hAnsi="宋体" w:cs="宋体"/>
                <w:color w:val="000000"/>
                <w:kern w:val="0"/>
                <w:sz w:val="24"/>
                <w:szCs w:val="24"/>
              </w:rPr>
            </w:pPr>
            <w:r>
              <w:rPr>
                <w:rFonts w:ascii="宋体" w:hAnsi="宋体" w:cs="宋体" w:hint="eastAsia"/>
                <w:color w:val="000000"/>
                <w:kern w:val="0"/>
                <w:sz w:val="20"/>
                <w:szCs w:val="20"/>
                <w:lang w:val="en-US" w:eastAsia="zh-CN"/>
              </w:rPr>
              <w:t>289.48</w:t>
            </w:r>
            <w:r>
              <w:rPr>
                <w:rFonts w:ascii="宋体" w:hAnsi="宋体" w:cs="宋体" w:hint="eastAsia"/>
                <w:color w:val="000000"/>
                <w:kern w:val="0"/>
                <w:sz w:val="20"/>
                <w:szCs w:val="20"/>
              </w:rPr>
              <w:t> </w:t>
            </w:r>
          </w:p>
        </w:tc>
        <w:tc>
          <w:tcPr>
            <w:tcW w:w="76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widowControl/>
              <w:jc w:val="right"/>
              <w:rPr>
                <w:rFonts w:ascii="宋体" w:hAnsi="宋体" w:cs="宋体"/>
                <w:color w:val="000000"/>
                <w:kern w:val="0"/>
                <w:sz w:val="24"/>
                <w:szCs w:val="24"/>
              </w:rPr>
            </w:pPr>
            <w:r>
              <w:rPr>
                <w:rFonts w:ascii="宋体" w:hAnsi="宋体" w:cs="宋体" w:hint="eastAsia"/>
                <w:color w:val="000000"/>
                <w:kern w:val="0"/>
                <w:sz w:val="20"/>
                <w:szCs w:val="20"/>
                <w:lang w:val="en-US" w:eastAsia="zh-CN"/>
              </w:rPr>
              <w:t>67.49</w:t>
            </w:r>
            <w:r>
              <w:rPr>
                <w:rFonts w:ascii="宋体" w:hAnsi="宋体" w:cs="宋体" w:hint="eastAsia"/>
                <w:color w:val="000000"/>
                <w:kern w:val="0"/>
                <w:sz w:val="20"/>
                <w:szCs w:val="20"/>
              </w:rPr>
              <w:t> </w:t>
            </w:r>
          </w:p>
        </w:tc>
        <w:tc>
          <w:tcPr>
            <w:tcW w:w="1263"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widowControl/>
              <w:jc w:val="right"/>
              <w:rPr>
                <w:rFonts w:ascii="宋体" w:hAnsi="宋体" w:cs="宋体"/>
                <w:color w:val="000000"/>
                <w:kern w:val="0"/>
                <w:sz w:val="24"/>
                <w:szCs w:val="24"/>
              </w:rPr>
            </w:pPr>
            <w:r>
              <w:rPr>
                <w:rFonts w:ascii="宋体" w:hAnsi="宋体" w:cs="宋体" w:hint="eastAsia"/>
                <w:color w:val="000000"/>
                <w:kern w:val="0"/>
                <w:sz w:val="20"/>
                <w:szCs w:val="20"/>
              </w:rPr>
              <w:t> </w:t>
            </w:r>
          </w:p>
        </w:tc>
        <w:tc>
          <w:tcPr>
            <w:tcW w:w="839"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widowControl/>
              <w:jc w:val="right"/>
              <w:rPr>
                <w:rFonts w:ascii="宋体" w:hAnsi="宋体" w:cs="宋体"/>
                <w:color w:val="000000"/>
                <w:kern w:val="0"/>
                <w:sz w:val="24"/>
                <w:szCs w:val="24"/>
              </w:rPr>
            </w:pPr>
            <w:r>
              <w:rPr>
                <w:rFonts w:ascii="宋体" w:hAnsi="宋体" w:cs="宋体" w:hint="eastAsia"/>
                <w:color w:val="000000"/>
                <w:kern w:val="0"/>
                <w:sz w:val="20"/>
                <w:szCs w:val="20"/>
                <w:lang w:val="en-US" w:eastAsia="zh-CN"/>
              </w:rPr>
              <w:t>452.41</w:t>
            </w:r>
            <w:r>
              <w:rPr>
                <w:rFonts w:ascii="宋体" w:hAnsi="宋体" w:cs="宋体" w:hint="eastAsia"/>
                <w:color w:val="000000"/>
                <w:kern w:val="0"/>
                <w:sz w:val="20"/>
                <w:szCs w:val="20"/>
              </w:rPr>
              <w:t> </w:t>
            </w:r>
          </w:p>
        </w:tc>
        <w:tc>
          <w:tcPr>
            <w:tcW w:w="97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widowControl/>
              <w:jc w:val="right"/>
              <w:rPr>
                <w:rFonts w:ascii="宋体" w:hAnsi="宋体" w:cs="宋体"/>
                <w:color w:val="000000"/>
                <w:kern w:val="0"/>
                <w:sz w:val="24"/>
                <w:szCs w:val="24"/>
              </w:rPr>
            </w:pPr>
            <w:r>
              <w:rPr>
                <w:rFonts w:ascii="宋体" w:hAnsi="宋体" w:cs="宋体" w:hint="eastAsia"/>
                <w:color w:val="000000"/>
                <w:kern w:val="0"/>
                <w:sz w:val="20"/>
                <w:szCs w:val="20"/>
              </w:rPr>
              <w:t> </w:t>
            </w:r>
          </w:p>
        </w:tc>
        <w:tc>
          <w:tcPr>
            <w:tcW w:w="97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widowControl/>
              <w:jc w:val="right"/>
              <w:rPr>
                <w:rFonts w:ascii="宋体" w:hAnsi="宋体" w:cs="宋体"/>
                <w:color w:val="000000"/>
                <w:kern w:val="0"/>
                <w:sz w:val="24"/>
                <w:szCs w:val="24"/>
              </w:rPr>
            </w:pPr>
            <w:r>
              <w:rPr>
                <w:rFonts w:ascii="宋体" w:hAnsi="宋体" w:cs="宋体" w:hint="eastAsia"/>
                <w:color w:val="000000"/>
                <w:kern w:val="0"/>
                <w:sz w:val="20"/>
                <w:szCs w:val="20"/>
                <w:lang w:val="en-US" w:eastAsia="zh-CN"/>
              </w:rPr>
              <w:t>341.77</w:t>
            </w:r>
            <w:r>
              <w:rPr>
                <w:rFonts w:ascii="宋体" w:hAnsi="宋体" w:cs="宋体" w:hint="eastAsia"/>
                <w:color w:val="000000"/>
                <w:kern w:val="0"/>
                <w:sz w:val="20"/>
                <w:szCs w:val="20"/>
              </w:rPr>
              <w:t> </w:t>
            </w:r>
          </w:p>
        </w:tc>
        <w:tc>
          <w:tcPr>
            <w:tcW w:w="978" w:type="dxa"/>
            <w:gridSpan w:val="2"/>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widowControl/>
              <w:jc w:val="right"/>
              <w:rPr>
                <w:rFonts w:ascii="宋体" w:hAnsi="宋体" w:cs="宋体"/>
                <w:color w:val="000000"/>
                <w:kern w:val="0"/>
                <w:sz w:val="24"/>
                <w:szCs w:val="24"/>
              </w:rPr>
            </w:pPr>
            <w:r>
              <w:rPr>
                <w:rFonts w:ascii="宋体" w:hAnsi="宋体" w:cs="宋体" w:hint="eastAsia"/>
                <w:color w:val="000000"/>
                <w:kern w:val="0"/>
                <w:sz w:val="20"/>
                <w:szCs w:val="20"/>
                <w:lang w:val="en-US" w:eastAsia="zh-CN"/>
              </w:rPr>
              <w:t>123.89</w:t>
            </w:r>
            <w:r>
              <w:rPr>
                <w:rFonts w:ascii="宋体" w:hAnsi="宋体" w:cs="宋体" w:hint="eastAsia"/>
                <w:color w:val="000000"/>
                <w:kern w:val="0"/>
                <w:sz w:val="20"/>
                <w:szCs w:val="20"/>
              </w:rPr>
              <w:t> </w:t>
            </w:r>
          </w:p>
        </w:tc>
        <w:tc>
          <w:tcPr>
            <w:tcW w:w="978"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pPr>
              <w:widowControl/>
              <w:jc w:val="right"/>
              <w:rPr>
                <w:rFonts w:ascii="宋体" w:hAnsi="宋体" w:cs="宋体"/>
                <w:color w:val="000000"/>
                <w:kern w:val="0"/>
                <w:sz w:val="24"/>
                <w:szCs w:val="24"/>
              </w:rPr>
            </w:pPr>
            <w:r>
              <w:rPr>
                <w:rFonts w:ascii="宋体" w:hAnsi="宋体" w:cs="宋体" w:hint="eastAsia"/>
                <w:color w:val="000000"/>
                <w:kern w:val="0"/>
                <w:sz w:val="20"/>
                <w:szCs w:val="20"/>
              </w:rPr>
              <w:t> </w:t>
            </w:r>
          </w:p>
        </w:tc>
        <w:tc>
          <w:tcPr>
            <w:tcW w:w="142" w:type="dxa"/>
            <w:tcBorders>
              <w:top w:val="nil"/>
              <w:left w:val="nil"/>
              <w:bottom w:val="nil"/>
              <w:right w:val="nil"/>
            </w:tcBorders>
            <w:vAlign w:val="center"/>
          </w:tcPr>
          <w:p>
            <w:pPr>
              <w:widowControl/>
              <w:jc w:val="left"/>
              <w:rPr>
                <w:rFonts w:ascii="宋体" w:hAnsi="宋体" w:cs="宋体"/>
                <w:color w:val="000000"/>
                <w:kern w:val="0"/>
                <w:sz w:val="17"/>
                <w:szCs w:val="17"/>
              </w:rPr>
            </w:pPr>
          </w:p>
        </w:tc>
      </w:tr>
      <w:tr>
        <w:tblPrEx>
          <w:tblLayout w:type="fixed"/>
          <w:tblCellMar>
            <w:top w:w="0" w:type="dxa"/>
            <w:left w:w="0" w:type="dxa"/>
            <w:bottom w:w="0" w:type="dxa"/>
            <w:right w:w="0" w:type="dxa"/>
          </w:tblCellMar>
          <w:tblLook w:val="0000"/>
        </w:tblPrEx>
        <w:trPr>
          <w:gridAfter w:val="2"/>
          <w:wAfter w:w="618" w:type="dxa"/>
          <w:trHeight w:val="259"/>
        </w:trPr>
        <w:tc>
          <w:tcPr>
            <w:tcW w:w="8672" w:type="dxa"/>
            <w:gridSpan w:val="14"/>
            <w:tcBorders>
              <w:top w:val="nil"/>
              <w:left w:val="nil"/>
              <w:bottom w:val="nil"/>
              <w:right w:val="nil"/>
            </w:tcBorders>
            <w:tcMar>
              <w:top w:w="15" w:type="dxa"/>
              <w:left w:w="15" w:type="dxa"/>
              <w:bottom w:w="15" w:type="dxa"/>
              <w:right w:w="15" w:type="dxa"/>
            </w:tcMar>
            <w:vAlign w:val="bottom"/>
          </w:tcPr>
          <w:p>
            <w:pPr>
              <w:widowControl/>
              <w:rPr>
                <w:rFonts w:ascii="宋体" w:hAnsi="宋体" w:cs="宋体"/>
                <w:color w:val="000000"/>
                <w:kern w:val="0"/>
                <w:sz w:val="24"/>
                <w:szCs w:val="24"/>
              </w:rPr>
            </w:pPr>
          </w:p>
        </w:tc>
        <w:tc>
          <w:tcPr>
            <w:tcW w:w="360" w:type="dxa"/>
            <w:tcBorders>
              <w:top w:val="nil"/>
              <w:left w:val="nil"/>
              <w:bottom w:val="nil"/>
              <w:right w:val="nil"/>
            </w:tcBorders>
            <w:tcMar>
              <w:top w:w="15" w:type="dxa"/>
              <w:left w:w="15" w:type="dxa"/>
              <w:bottom w:w="15" w:type="dxa"/>
              <w:right w:w="15" w:type="dxa"/>
            </w:tcMar>
            <w:vAlign w:val="bottom"/>
          </w:tcPr>
          <w:p>
            <w:pPr>
              <w:widowControl/>
              <w:rPr>
                <w:rFonts w:ascii="宋体" w:hAnsi="宋体" w:cs="宋体"/>
                <w:color w:val="000000"/>
                <w:kern w:val="0"/>
                <w:sz w:val="20"/>
                <w:lang w:bidi="ar"/>
              </w:rPr>
            </w:pPr>
          </w:p>
        </w:tc>
        <w:tc>
          <w:tcPr>
            <w:tcW w:w="978" w:type="dxa"/>
            <w:gridSpan w:val="2"/>
            <w:tcBorders>
              <w:top w:val="nil"/>
              <w:left w:val="nil"/>
              <w:bottom w:val="nil"/>
              <w:right w:val="nil"/>
            </w:tcBorders>
            <w:tcMar>
              <w:top w:w="15" w:type="dxa"/>
              <w:left w:w="15" w:type="dxa"/>
              <w:bottom w:w="15" w:type="dxa"/>
              <w:right w:w="15" w:type="dxa"/>
            </w:tcMar>
            <w:vAlign w:val="bottom"/>
          </w:tcPr>
          <w:p>
            <w:pPr>
              <w:widowControl/>
              <w:jc w:val="left"/>
              <w:rPr>
                <w:rFonts w:ascii="宋体" w:hAnsi="宋体" w:cs="宋体"/>
                <w:color w:val="000000"/>
                <w:kern w:val="0"/>
                <w:sz w:val="24"/>
                <w:szCs w:val="24"/>
              </w:rPr>
            </w:pPr>
          </w:p>
        </w:tc>
        <w:tc>
          <w:tcPr>
            <w:tcW w:w="142" w:type="dxa"/>
            <w:tcBorders>
              <w:top w:val="nil"/>
              <w:left w:val="nil"/>
              <w:bottom w:val="nil"/>
              <w:right w:val="nil"/>
            </w:tcBorders>
            <w:vAlign w:val="center"/>
          </w:tcPr>
          <w:p>
            <w:pPr>
              <w:widowControl/>
              <w:jc w:val="left"/>
              <w:rPr>
                <w:rFonts w:ascii="宋体" w:hAnsi="宋体" w:cs="宋体"/>
                <w:color w:val="000000"/>
                <w:kern w:val="0"/>
                <w:sz w:val="17"/>
                <w:szCs w:val="17"/>
              </w:rPr>
            </w:pPr>
          </w:p>
        </w:tc>
      </w:tr>
      <w:tr>
        <w:tblPrEx>
          <w:tblLayout w:type="fixed"/>
          <w:tblCellMar>
            <w:top w:w="0" w:type="dxa"/>
            <w:left w:w="0" w:type="dxa"/>
            <w:bottom w:w="0" w:type="dxa"/>
            <w:right w:w="0" w:type="dxa"/>
          </w:tblCellMar>
          <w:tblLook w:val="0000"/>
        </w:tblPrEx>
        <w:trPr>
          <w:trHeight w:val="495"/>
        </w:trPr>
        <w:tc>
          <w:tcPr>
            <w:tcW w:w="9650" w:type="dxa"/>
            <w:gridSpan w:val="16"/>
            <w:tcBorders>
              <w:top w:val="nil"/>
              <w:left w:val="nil"/>
              <w:bottom w:val="nil"/>
              <w:right w:val="nil"/>
            </w:tcBorders>
            <w:tcMar>
              <w:top w:w="15" w:type="dxa"/>
              <w:left w:w="15" w:type="dxa"/>
              <w:bottom w:w="15" w:type="dxa"/>
              <w:right w:w="15" w:type="dxa"/>
            </w:tcMar>
            <w:vAlign w:val="bottom"/>
          </w:tcPr>
          <w:p>
            <w:pPr>
              <w:widowControl/>
              <w:rPr>
                <w:rFonts w:ascii="宋体" w:hAnsi="宋体" w:cs="宋体" w:hint="eastAsia"/>
                <w:color w:val="000000"/>
                <w:kern w:val="0"/>
                <w:sz w:val="20"/>
                <w:szCs w:val="20"/>
              </w:rPr>
            </w:pPr>
            <w:r>
              <w:rPr>
                <w:rFonts w:ascii="宋体" w:hAnsi="宋体" w:cs="宋体" w:hint="eastAsia"/>
                <w:color w:val="000000"/>
                <w:kern w:val="0"/>
                <w:sz w:val="20"/>
                <w:szCs w:val="20"/>
              </w:rPr>
              <w:t>填报说明：1.资产总额＝流动资产＋固定资产＋对外投资／有价证券＋在建工程＋无形资产＋其他资产</w:t>
            </w:r>
          </w:p>
          <w:p>
            <w:pPr>
              <w:widowControl/>
              <w:rPr>
                <w:rFonts w:ascii="宋体" w:hAnsi="宋体" w:cs="宋体"/>
                <w:color w:val="000000"/>
                <w:kern w:val="0"/>
                <w:sz w:val="20"/>
                <w:szCs w:val="20"/>
              </w:rPr>
            </w:pPr>
            <w:r>
              <w:rPr>
                <w:rFonts w:ascii="宋体" w:hAnsi="宋体" w:cs="宋体" w:hint="eastAsia"/>
                <w:color w:val="000000"/>
                <w:kern w:val="0"/>
                <w:sz w:val="20"/>
                <w:szCs w:val="20"/>
              </w:rPr>
              <w:t>2.固定资产＝房屋构筑物＋车辆＋单价200万元以上大型设备＋其他固定资产</w:t>
            </w:r>
          </w:p>
        </w:tc>
        <w:tc>
          <w:tcPr>
            <w:tcW w:w="978" w:type="dxa"/>
            <w:gridSpan w:val="3"/>
            <w:tcBorders>
              <w:top w:val="nil"/>
              <w:left w:val="nil"/>
              <w:bottom w:val="nil"/>
              <w:right w:val="nil"/>
            </w:tcBorders>
            <w:tcMar>
              <w:top w:w="15" w:type="dxa"/>
              <w:left w:w="15" w:type="dxa"/>
              <w:bottom w:w="15" w:type="dxa"/>
              <w:right w:w="15" w:type="dxa"/>
            </w:tcMar>
            <w:vAlign w:val="bottom"/>
          </w:tcPr>
          <w:p>
            <w:pPr>
              <w:widowControl/>
              <w:jc w:val="left"/>
              <w:rPr>
                <w:rFonts w:ascii="宋体" w:hAnsi="宋体" w:cs="宋体"/>
                <w:color w:val="000000"/>
                <w:kern w:val="0"/>
                <w:sz w:val="24"/>
                <w:szCs w:val="24"/>
              </w:rPr>
            </w:pPr>
            <w:r>
              <w:rPr>
                <w:rFonts w:ascii="Arial" w:hAnsi="Arial" w:cs="Arial"/>
                <w:color w:val="000000"/>
                <w:kern w:val="0"/>
                <w:sz w:val="20"/>
                <w:szCs w:val="20"/>
              </w:rPr>
              <w:t> </w:t>
            </w:r>
          </w:p>
        </w:tc>
        <w:tc>
          <w:tcPr>
            <w:tcW w:w="142" w:type="dxa"/>
            <w:vAlign w:val="center"/>
          </w:tcPr>
          <w:p>
            <w:pPr>
              <w:widowControl/>
              <w:jc w:val="left"/>
              <w:rPr>
                <w:rFonts w:ascii="Times New Roman" w:eastAsia="Times New Roman" w:hAnsi="Times New Roman"/>
                <w:kern w:val="0"/>
                <w:sz w:val="20"/>
                <w:szCs w:val="20"/>
              </w:rPr>
            </w:pPr>
          </w:p>
        </w:tc>
      </w:tr>
    </w:tbl>
    <w:p>
      <w:pPr>
        <w:ind w:firstLine="600" w:firstLineChars="200"/>
        <w:jc w:val="left"/>
        <w:rPr>
          <w:rFonts w:ascii="黑体" w:eastAsia="黑体" w:hAnsi="黑体" w:cs="黑体" w:hint="eastAsia"/>
          <w:sz w:val="30"/>
          <w:szCs w:val="30"/>
        </w:rPr>
      </w:pPr>
      <w:r>
        <w:rPr>
          <w:rFonts w:ascii="黑体" w:eastAsia="黑体" w:hAnsi="黑体" w:cs="黑体" w:hint="eastAsia"/>
          <w:sz w:val="30"/>
          <w:szCs w:val="30"/>
          <w:lang w:eastAsia="zh-CN"/>
        </w:rPr>
        <w:t>三、</w:t>
      </w:r>
      <w:r>
        <w:rPr>
          <w:rFonts w:ascii="黑体" w:eastAsia="黑体" w:hAnsi="黑体" w:cs="黑体" w:hint="eastAsia"/>
          <w:sz w:val="30"/>
          <w:szCs w:val="30"/>
        </w:rPr>
        <w:t>政府采购支出情况</w:t>
      </w:r>
    </w:p>
    <w:p>
      <w:pPr>
        <w:ind w:firstLine="600" w:firstLineChars="200"/>
        <w:rPr>
          <w:rFonts w:ascii="仿宋_GB2312" w:eastAsia="仿宋_GB2312" w:hAnsi="仿宋_GB2312" w:cs="仿宋_GB2312" w:hint="eastAsia"/>
          <w:sz w:val="30"/>
          <w:szCs w:val="30"/>
          <w:lang w:val="en-US" w:eastAsia="zh-CN"/>
        </w:rPr>
      </w:pPr>
      <w:r>
        <w:rPr>
          <w:rFonts w:ascii="仿宋_GB2312" w:eastAsia="仿宋_GB2312" w:hAnsi="仿宋_GB2312" w:cs="仿宋_GB2312" w:hint="eastAsia"/>
          <w:sz w:val="30"/>
          <w:szCs w:val="30"/>
          <w:lang w:val="en-US" w:eastAsia="zh-CN"/>
        </w:rPr>
        <w:t>2018年度，部门政府采购支出总额60.22万元，其中：政府采购货物支出60.22万元；政府采购工程支出0万元；政府采购服务支出0万元。授予中小企业合同金额60.22万元，占政府采购支出总额的100%。</w:t>
      </w:r>
    </w:p>
    <w:p>
      <w:pPr>
        <w:ind w:firstLine="600" w:firstLineChars="200"/>
        <w:jc w:val="left"/>
        <w:rPr>
          <w:rFonts w:ascii="黑体" w:eastAsia="黑体" w:hAnsi="黑体" w:cs="黑体" w:hint="eastAsia"/>
          <w:sz w:val="30"/>
          <w:szCs w:val="30"/>
          <w:lang w:val="en-US" w:eastAsia="zh-CN"/>
        </w:rPr>
      </w:pPr>
      <w:r>
        <w:rPr>
          <w:rFonts w:ascii="黑体" w:eastAsia="黑体" w:hAnsi="黑体" w:cs="黑体" w:hint="eastAsia"/>
          <w:sz w:val="30"/>
          <w:szCs w:val="30"/>
          <w:lang w:val="en-US" w:eastAsia="zh-CN"/>
        </w:rPr>
        <w:t>四、部门绩效自评情况</w:t>
      </w:r>
    </w:p>
    <w:p>
      <w:pPr>
        <w:widowControl/>
        <w:snapToGrid w:val="0"/>
        <w:spacing w:before="100" w:after="100" w:line="360" w:lineRule="auto"/>
        <w:ind w:firstLine="600"/>
        <w:jc w:val="left"/>
        <w:rPr>
          <w:rFonts w:ascii="仿宋_GB2312" w:eastAsia="仿宋_GB2312" w:hAnsi="仿宋_GB2312" w:cs="仿宋_GB2312" w:hint="eastAsia"/>
          <w:sz w:val="30"/>
          <w:szCs w:val="30"/>
          <w:highlight w:val="none"/>
          <w:lang w:val="en-US" w:eastAsia="zh-CN"/>
        </w:rPr>
      </w:pPr>
      <w:r>
        <w:rPr>
          <w:rFonts w:ascii="仿宋_GB2312" w:eastAsia="仿宋_GB2312" w:hAnsi="仿宋_GB2312" w:cs="仿宋_GB2312" w:hint="eastAsia"/>
          <w:sz w:val="30"/>
          <w:szCs w:val="30"/>
          <w:lang w:val="en-US" w:eastAsia="zh-CN"/>
        </w:rPr>
        <w:t>部门绩效自评情况详见附表</w:t>
      </w:r>
      <w:r>
        <w:rPr>
          <w:rFonts w:ascii="仿宋_GB2312" w:eastAsia="仿宋_GB2312" w:hAnsi="仿宋_GB2312" w:cs="仿宋_GB2312" w:hint="eastAsia"/>
          <w:sz w:val="30"/>
          <w:szCs w:val="30"/>
          <w:highlight w:val="none"/>
          <w:lang w:val="en-US" w:eastAsia="zh-CN"/>
        </w:rPr>
        <w:t>（附表10</w:t>
      </w:r>
      <w:r>
        <w:rPr>
          <w:rFonts w:ascii="仿宋_GB2312" w:eastAsia="仿宋_GB2312" w:hAnsi="仿宋_GB2312" w:cs="仿宋_GB2312" w:hint="eastAsia"/>
          <w:sz w:val="30"/>
          <w:szCs w:val="30"/>
          <w:highlight w:val="none"/>
          <w:lang w:val="en-US" w:eastAsia="zh-CN"/>
        </w:rPr>
        <w:t>—</w:t>
      </w:r>
      <w:r>
        <w:rPr>
          <w:rFonts w:ascii="仿宋_GB2312" w:eastAsia="仿宋_GB2312" w:hAnsi="仿宋_GB2312" w:cs="仿宋_GB2312" w:hint="eastAsia"/>
          <w:sz w:val="30"/>
          <w:szCs w:val="30"/>
          <w:highlight w:val="none"/>
          <w:lang w:val="en-US" w:eastAsia="zh-CN"/>
        </w:rPr>
        <w:t>附表14）。</w:t>
      </w:r>
    </w:p>
    <w:p>
      <w:pPr>
        <w:widowControl/>
        <w:snapToGrid w:val="0"/>
        <w:spacing w:before="100" w:after="100" w:line="360" w:lineRule="auto"/>
        <w:ind w:firstLine="600" w:firstLineChars="200"/>
        <w:jc w:val="left"/>
        <w:rPr>
          <w:rFonts w:ascii="黑体" w:eastAsia="黑体" w:hAnsi="黑体" w:cs="黑体" w:hint="eastAsia"/>
          <w:sz w:val="30"/>
          <w:szCs w:val="30"/>
          <w:lang w:val="en-US" w:eastAsia="zh-CN"/>
        </w:rPr>
      </w:pPr>
      <w:r>
        <w:rPr>
          <w:rFonts w:ascii="黑体" w:eastAsia="黑体" w:hAnsi="黑体" w:cs="黑体" w:hint="eastAsia"/>
          <w:sz w:val="30"/>
          <w:szCs w:val="30"/>
          <w:lang w:val="en-US" w:eastAsia="zh-CN"/>
        </w:rPr>
        <w:t>五、其他重要事项情况说明</w:t>
      </w:r>
    </w:p>
    <w:p>
      <w:pPr>
        <w:widowControl/>
        <w:snapToGrid w:val="0"/>
        <w:spacing w:before="100" w:after="100" w:line="360" w:lineRule="auto"/>
        <w:ind w:firstLine="600" w:firstLineChars="200"/>
        <w:jc w:val="left"/>
        <w:rPr>
          <w:rFonts w:ascii="仿宋_GB2312" w:eastAsia="仿宋_GB2312" w:hAnsi="黑体" w:cs="方正小标宋简体" w:hint="eastAsia"/>
          <w:sz w:val="30"/>
          <w:szCs w:val="30"/>
          <w:lang w:eastAsia="zh-CN"/>
        </w:rPr>
      </w:pPr>
      <w:r>
        <w:rPr>
          <w:rFonts w:ascii="仿宋_GB2312" w:eastAsia="仿宋_GB2312" w:hAnsi="黑体" w:cs="方正小标宋简体" w:hint="eastAsia"/>
          <w:sz w:val="30"/>
          <w:szCs w:val="30"/>
          <w:lang w:eastAsia="zh-CN"/>
        </w:rPr>
        <w:t>无。</w:t>
      </w:r>
    </w:p>
    <w:p>
      <w:pPr>
        <w:widowControl/>
        <w:snapToGrid w:val="0"/>
        <w:spacing w:before="100" w:after="100" w:line="360" w:lineRule="auto"/>
        <w:ind w:firstLine="600" w:firstLineChars="200"/>
        <w:jc w:val="left"/>
        <w:rPr>
          <w:rFonts w:ascii="黑体" w:eastAsia="黑体" w:hAnsi="黑体" w:cs="黑体" w:hint="eastAsia"/>
          <w:sz w:val="30"/>
          <w:szCs w:val="30"/>
          <w:lang w:val="en-US" w:eastAsia="zh-CN"/>
        </w:rPr>
      </w:pPr>
      <w:r>
        <w:rPr>
          <w:rFonts w:ascii="黑体" w:eastAsia="黑体" w:hAnsi="黑体" w:cs="黑体" w:hint="eastAsia"/>
          <w:sz w:val="30"/>
          <w:szCs w:val="30"/>
          <w:lang w:val="en-US" w:eastAsia="zh-CN"/>
        </w:rPr>
        <w:t>六、相关口径说明</w:t>
      </w:r>
    </w:p>
    <w:p>
      <w:pPr>
        <w:ind w:firstLine="600" w:firstLineChars="200"/>
        <w:jc w:val="left"/>
        <w:rPr>
          <w:rFonts w:ascii="仿宋_GB2312" w:eastAsia="仿宋_GB2312" w:hAnsi="黑体" w:cs="方正小标宋简体" w:hint="eastAsia"/>
          <w:sz w:val="30"/>
          <w:szCs w:val="30"/>
        </w:rPr>
      </w:pPr>
      <w:r>
        <w:rPr>
          <w:rFonts w:ascii="仿宋_GB2312" w:eastAsia="仿宋_GB2312" w:hAnsi="黑体" w:cs="方正小标宋简体" w:hint="eastAsia"/>
          <w:sz w:val="30"/>
          <w:szCs w:val="30"/>
          <w:lang w:eastAsia="zh-CN"/>
        </w:rPr>
        <w:t>（一）</w:t>
      </w:r>
      <w:r>
        <w:rPr>
          <w:rFonts w:ascii="仿宋_GB2312" w:eastAsia="仿宋_GB2312" w:hAnsi="黑体" w:cs="方正小标宋简体" w:hint="eastAsia"/>
          <w:sz w:val="30"/>
          <w:szCs w:val="30"/>
        </w:rPr>
        <w:t>基本支出中人员经费包括工资福利支出和对个人和家庭的补助，日常公用支出包括商品和服务支出、资本性支出等人员经费以外的支出。</w:t>
      </w:r>
    </w:p>
    <w:p>
      <w:pPr>
        <w:ind w:firstLine="600" w:firstLineChars="200"/>
        <w:jc w:val="left"/>
        <w:rPr>
          <w:rFonts w:ascii="仿宋_GB2312" w:eastAsia="仿宋_GB2312" w:hAnsi="黑体" w:cs="方正小标宋简体" w:hint="eastAsia"/>
          <w:sz w:val="30"/>
          <w:szCs w:val="30"/>
        </w:rPr>
      </w:pPr>
      <w:r>
        <w:rPr>
          <w:rFonts w:ascii="仿宋_GB2312" w:eastAsia="仿宋_GB2312" w:hAnsi="黑体" w:cs="方正小标宋简体" w:hint="eastAsia"/>
          <w:sz w:val="30"/>
          <w:szCs w:val="30"/>
          <w:lang w:eastAsia="zh-CN"/>
        </w:rPr>
        <w:t>（二）</w:t>
      </w:r>
      <w:r>
        <w:rPr>
          <w:rFonts w:ascii="仿宋_GB2312" w:eastAsia="仿宋_GB2312" w:hAnsi="黑体" w:cs="方正小标宋简体" w:hint="eastAsia"/>
          <w:sz w:val="30"/>
          <w:szCs w:val="30"/>
        </w:rPr>
        <w:t>机关运行经费指行政单位和参照公务员法管理的事业单位使用一般公共预算财政拨款安排的基本支出中的日常公用经费支出</w:t>
      </w:r>
      <w:r>
        <w:rPr>
          <w:rFonts w:ascii="仿宋_GB2312" w:eastAsia="仿宋_GB2312" w:hAnsi="黑体" w:cs="方正小标宋简体" w:hint="eastAsia"/>
          <w:sz w:val="30"/>
          <w:szCs w:val="30"/>
          <w:lang w:eastAsia="zh-CN"/>
        </w:rPr>
        <w:t>。</w:t>
      </w:r>
    </w:p>
    <w:p>
      <w:pPr>
        <w:ind w:firstLine="600" w:firstLineChars="200"/>
        <w:jc w:val="left"/>
        <w:rPr>
          <w:rFonts w:ascii="仿宋_GB2312" w:eastAsia="仿宋_GB2312" w:hAnsi="黑体" w:cs="方正小标宋简体" w:hint="eastAsia"/>
          <w:sz w:val="30"/>
          <w:szCs w:val="30"/>
          <w:highlight w:val="none"/>
        </w:rPr>
      </w:pPr>
      <w:r>
        <w:rPr>
          <w:rFonts w:ascii="仿宋_GB2312" w:eastAsia="仿宋_GB2312" w:hAnsi="黑体" w:cs="方正小标宋简体" w:hint="eastAsia"/>
          <w:sz w:val="30"/>
          <w:szCs w:val="30"/>
          <w:lang w:eastAsia="zh-CN"/>
        </w:rPr>
        <w:t>（三）</w:t>
      </w:r>
      <w:r>
        <w:rPr>
          <w:rFonts w:ascii="仿宋_GB2312" w:eastAsia="仿宋_GB2312" w:hAnsi="黑体" w:cs="方正小标宋简体" w:hint="eastAsia"/>
          <w:sz w:val="30"/>
          <w:szCs w:val="30"/>
        </w:rPr>
        <w:t>按照党中央、国务院有关文件及部门预算管理有关规定，</w:t>
      </w:r>
      <w:r>
        <w:rPr>
          <w:rFonts w:ascii="仿宋_GB2312" w:eastAsia="仿宋_GB2312" w:hAnsi="黑体" w:cs="方正小标宋简体" w:hint="eastAsia"/>
          <w:sz w:val="30"/>
          <w:szCs w:val="30"/>
        </w:rPr>
        <w:t>“</w:t>
      </w:r>
      <w:r>
        <w:rPr>
          <w:rFonts w:ascii="仿宋_GB2312" w:eastAsia="仿宋_GB2312" w:hAnsi="黑体" w:cs="方正小标宋简体" w:hint="eastAsia"/>
          <w:sz w:val="30"/>
          <w:szCs w:val="30"/>
        </w:rPr>
        <w:t>三公</w:t>
      </w:r>
      <w:r>
        <w:rPr>
          <w:rFonts w:ascii="仿宋_GB2312" w:eastAsia="仿宋_GB2312" w:hAnsi="黑体" w:cs="方正小标宋简体" w:hint="eastAsia"/>
          <w:sz w:val="30"/>
          <w:szCs w:val="30"/>
        </w:rPr>
        <w:t>”</w:t>
      </w:r>
      <w:r>
        <w:rPr>
          <w:rFonts w:ascii="仿宋_GB2312" w:eastAsia="仿宋_GB2312" w:hAnsi="黑体" w:cs="方正小标宋简体" w:hint="eastAsia"/>
          <w:sz w:val="30"/>
          <w:szCs w:val="30"/>
        </w:rPr>
        <w:t>经费包括因公出国（境）费、公务用车购置及运行维护费、公务接待费。</w:t>
      </w:r>
      <w:r>
        <w:rPr>
          <w:rFonts w:ascii="仿宋_GB2312" w:eastAsia="仿宋_GB2312" w:hAnsi="黑体" w:cs="方正小标宋简体" w:hint="eastAsia"/>
          <w:sz w:val="30"/>
          <w:szCs w:val="30"/>
          <w:highlight w:val="none"/>
        </w:rPr>
        <w:t>其中：因公出国（境）费，指单位工作人员公务出国（境）的国际旅费、国外城市间交通费、住宿费、伙食费、培训费、公杂费等支出；公务用车购置费，指单位公务用车车辆购置支出（含车辆购置税</w:t>
      </w:r>
      <w:r>
        <w:rPr>
          <w:rFonts w:ascii="仿宋_GB2312" w:eastAsia="仿宋_GB2312" w:hAnsi="黑体" w:cs="方正小标宋简体" w:hint="eastAsia"/>
          <w:sz w:val="30"/>
          <w:szCs w:val="30"/>
          <w:highlight w:val="none"/>
          <w:lang w:eastAsia="zh-CN"/>
        </w:rPr>
        <w:t>、牌照费等</w:t>
      </w:r>
      <w:r>
        <w:rPr>
          <w:rFonts w:ascii="仿宋_GB2312" w:eastAsia="仿宋_GB2312" w:hAnsi="黑体" w:cs="方正小标宋简体" w:hint="eastAsia"/>
          <w:sz w:val="30"/>
          <w:szCs w:val="30"/>
          <w:highlight w:val="none"/>
        </w:rPr>
        <w:t>）；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p>
    <w:p>
      <w:pPr>
        <w:ind w:firstLine="600" w:firstLineChars="200"/>
        <w:jc w:val="left"/>
        <w:rPr>
          <w:rFonts w:ascii="仿宋_GB2312" w:eastAsia="仿宋_GB2312" w:hAnsi="黑体" w:cs="方正小标宋简体" w:hint="eastAsia"/>
          <w:sz w:val="30"/>
          <w:szCs w:val="30"/>
        </w:rPr>
      </w:pPr>
      <w:r>
        <w:rPr>
          <w:rFonts w:ascii="仿宋_GB2312" w:eastAsia="仿宋_GB2312" w:hAnsi="黑体" w:cs="方正小标宋简体" w:hint="eastAsia"/>
          <w:sz w:val="30"/>
          <w:szCs w:val="30"/>
          <w:lang w:eastAsia="zh-CN"/>
        </w:rPr>
        <w:t>（四）</w:t>
      </w:r>
      <w:r>
        <w:rPr>
          <w:rFonts w:ascii="仿宋_GB2312" w:eastAsia="仿宋_GB2312" w:hAnsi="黑体" w:cs="方正小标宋简体" w:hint="eastAsia"/>
          <w:sz w:val="30"/>
          <w:szCs w:val="30"/>
        </w:rPr>
        <w:t>“</w:t>
      </w:r>
      <w:r>
        <w:rPr>
          <w:rFonts w:ascii="仿宋_GB2312" w:eastAsia="仿宋_GB2312" w:hAnsi="黑体" w:cs="方正小标宋简体" w:hint="eastAsia"/>
          <w:sz w:val="30"/>
          <w:szCs w:val="30"/>
        </w:rPr>
        <w:t>三公</w:t>
      </w:r>
      <w:r>
        <w:rPr>
          <w:rFonts w:ascii="仿宋_GB2312" w:eastAsia="仿宋_GB2312" w:hAnsi="黑体" w:cs="方正小标宋简体" w:hint="eastAsia"/>
          <w:sz w:val="30"/>
          <w:szCs w:val="30"/>
        </w:rPr>
        <w:t>”</w:t>
      </w:r>
      <w:r>
        <w:rPr>
          <w:rFonts w:ascii="仿宋_GB2312" w:eastAsia="仿宋_GB2312" w:hAnsi="黑体" w:cs="方正小标宋简体" w:hint="eastAsia"/>
          <w:sz w:val="30"/>
          <w:szCs w:val="30"/>
        </w:rPr>
        <w:t>经费决算数：指各部门（含下属单位）当年通过本级财政一般公共预算财政拨款和以前年度一般公共预算财政拨款结转结余资金安排的因公出国（境）费、公务用车购置及运行维护费和公务接待费支出数（包括基本支出和项目支出）。</w:t>
      </w:r>
    </w:p>
    <w:p>
      <w:pPr>
        <w:ind w:firstLine="640" w:firstLineChars="200"/>
        <w:jc w:val="center"/>
        <w:rPr>
          <w:rFonts w:ascii="黑体" w:eastAsia="黑体" w:hAnsi="黑体" w:cs="方正小标宋简体" w:hint="eastAsia"/>
          <w:sz w:val="32"/>
          <w:szCs w:val="32"/>
        </w:rPr>
      </w:pPr>
      <w:r>
        <w:rPr>
          <w:rFonts w:ascii="黑体" w:eastAsia="黑体" w:hAnsi="黑体" w:cs="方正小标宋简体" w:hint="eastAsia"/>
          <w:sz w:val="32"/>
          <w:szCs w:val="32"/>
        </w:rPr>
        <w:t>第</w:t>
      </w:r>
      <w:r>
        <w:rPr>
          <w:rFonts w:ascii="黑体" w:eastAsia="黑体" w:hAnsi="黑体" w:cs="方正小标宋简体" w:hint="eastAsia"/>
          <w:sz w:val="32"/>
          <w:szCs w:val="32"/>
          <w:lang w:eastAsia="zh-CN"/>
        </w:rPr>
        <w:t>五</w:t>
      </w:r>
      <w:r>
        <w:rPr>
          <w:rFonts w:ascii="黑体" w:eastAsia="黑体" w:hAnsi="黑体" w:cs="方正小标宋简体" w:hint="eastAsia"/>
          <w:sz w:val="32"/>
          <w:szCs w:val="32"/>
        </w:rPr>
        <w:t>部分  名词解释</w:t>
      </w:r>
    </w:p>
    <w:p>
      <w:pPr>
        <w:ind w:firstLine="600" w:firstLineChars="200"/>
        <w:jc w:val="left"/>
        <w:rPr>
          <w:rFonts w:ascii="仿宋_GB2312" w:eastAsia="仿宋_GB2312" w:hAnsi="黑体" w:cs="方正小标宋简体" w:hint="eastAsia"/>
          <w:sz w:val="30"/>
          <w:szCs w:val="30"/>
        </w:rPr>
      </w:pPr>
      <w:r>
        <w:rPr>
          <w:rFonts w:ascii="仿宋_GB2312" w:eastAsia="仿宋_GB2312" w:hAnsi="黑体" w:cs="方正小标宋简体" w:hint="eastAsia"/>
          <w:sz w:val="30"/>
          <w:szCs w:val="30"/>
        </w:rPr>
        <w:t xml:space="preserve">1．基本支出：指为保障机构正常运转、完成日常工作任务而发生的各项支出，包括人员支出和公用支出。 </w:t>
      </w:r>
    </w:p>
    <w:p>
      <w:pPr>
        <w:ind w:firstLine="600" w:firstLineChars="200"/>
        <w:jc w:val="left"/>
        <w:rPr>
          <w:rFonts w:ascii="仿宋_GB2312" w:eastAsia="仿宋_GB2312" w:hAnsi="黑体" w:cs="方正小标宋简体" w:hint="eastAsia"/>
          <w:sz w:val="30"/>
          <w:szCs w:val="30"/>
        </w:rPr>
      </w:pPr>
      <w:r>
        <w:rPr>
          <w:rFonts w:ascii="仿宋_GB2312" w:eastAsia="仿宋_GB2312" w:hAnsi="黑体" w:cs="方正小标宋简体" w:hint="eastAsia"/>
          <w:sz w:val="30"/>
          <w:szCs w:val="30"/>
        </w:rPr>
        <w:t xml:space="preserve">2．项目支出：指在基本支出以外为完成相关行政任务和事业发展目标所发生的各项支出。 </w:t>
      </w:r>
    </w:p>
    <w:p>
      <w:pPr>
        <w:ind w:firstLine="600" w:firstLineChars="200"/>
        <w:jc w:val="left"/>
        <w:rPr>
          <w:rFonts w:ascii="仿宋_GB2312" w:eastAsia="仿宋_GB2312" w:hAnsi="黑体" w:cs="方正小标宋简体" w:hint="eastAsia"/>
          <w:sz w:val="30"/>
          <w:szCs w:val="30"/>
        </w:rPr>
      </w:pPr>
      <w:r>
        <w:rPr>
          <w:rFonts w:ascii="仿宋_GB2312" w:eastAsia="仿宋_GB2312" w:hAnsi="黑体" w:cs="方正小标宋简体" w:hint="eastAsia"/>
          <w:sz w:val="30"/>
          <w:szCs w:val="30"/>
        </w:rPr>
        <w:t>3．政府采购：指各级国家机关、事业单位和团体组织，使用财政性资金采购依法制定的集中目录以内的或者采购限额标准以上的货物、工程和服务的行为。</w:t>
      </w:r>
    </w:p>
    <w:p>
      <w:pPr>
        <w:ind w:firstLine="600" w:firstLineChars="200"/>
        <w:jc w:val="left"/>
        <w:rPr>
          <w:rFonts w:ascii="仿宋_GB2312" w:eastAsia="仿宋_GB2312" w:hAnsi="黑体" w:cs="方正小标宋简体" w:hint="eastAsia"/>
          <w:sz w:val="30"/>
          <w:szCs w:val="30"/>
        </w:rPr>
      </w:pPr>
      <w:r>
        <w:rPr>
          <w:rFonts w:ascii="仿宋_GB2312" w:eastAsia="仿宋_GB2312" w:hAnsi="黑体" w:cs="方正小标宋简体" w:hint="eastAsia"/>
          <w:sz w:val="30"/>
          <w:szCs w:val="30"/>
        </w:rPr>
        <w:t>4．</w:t>
      </w:r>
      <w:r>
        <w:rPr>
          <w:rFonts w:ascii="仿宋_GB2312" w:eastAsia="仿宋_GB2312" w:hAnsi="黑体" w:cs="方正小标宋简体" w:hint="eastAsia"/>
          <w:sz w:val="30"/>
          <w:szCs w:val="30"/>
        </w:rPr>
        <w:t>“</w:t>
      </w:r>
      <w:r>
        <w:rPr>
          <w:rFonts w:ascii="仿宋_GB2312" w:eastAsia="仿宋_GB2312" w:hAnsi="黑体" w:cs="方正小标宋简体" w:hint="eastAsia"/>
          <w:sz w:val="30"/>
          <w:szCs w:val="30"/>
        </w:rPr>
        <w:t>三公</w:t>
      </w:r>
      <w:r>
        <w:rPr>
          <w:rFonts w:ascii="仿宋_GB2312" w:eastAsia="仿宋_GB2312" w:hAnsi="黑体" w:cs="方正小标宋简体" w:hint="eastAsia"/>
          <w:sz w:val="30"/>
          <w:szCs w:val="30"/>
        </w:rPr>
        <w:t>”</w:t>
      </w:r>
      <w:r>
        <w:rPr>
          <w:rFonts w:ascii="仿宋_GB2312" w:eastAsia="仿宋_GB2312" w:hAnsi="黑体" w:cs="方正小标宋简体" w:hint="eastAsia"/>
          <w:sz w:val="30"/>
          <w:szCs w:val="30"/>
        </w:rPr>
        <w:t>经费：纳入</w:t>
      </w:r>
      <w:r>
        <w:rPr>
          <w:rFonts w:ascii="仿宋_GB2312" w:eastAsia="仿宋_GB2312" w:hAnsi="黑体" w:cs="方正小标宋简体" w:hint="eastAsia"/>
          <w:sz w:val="30"/>
          <w:szCs w:val="30"/>
          <w:lang w:eastAsia="zh-CN"/>
        </w:rPr>
        <w:t>州</w:t>
      </w:r>
      <w:r>
        <w:rPr>
          <w:rFonts w:ascii="仿宋_GB2312" w:eastAsia="仿宋_GB2312" w:hAnsi="黑体" w:cs="方正小标宋简体" w:hint="eastAsia"/>
          <w:sz w:val="30"/>
          <w:szCs w:val="30"/>
        </w:rPr>
        <w:t>财政预算管理的</w:t>
      </w:r>
      <w:r>
        <w:rPr>
          <w:rFonts w:ascii="仿宋_GB2312" w:eastAsia="仿宋_GB2312" w:hAnsi="黑体" w:cs="方正小标宋简体" w:hint="eastAsia"/>
          <w:sz w:val="30"/>
          <w:szCs w:val="30"/>
        </w:rPr>
        <w:t>“</w:t>
      </w:r>
      <w:r>
        <w:rPr>
          <w:rFonts w:ascii="仿宋_GB2312" w:eastAsia="仿宋_GB2312" w:hAnsi="黑体" w:cs="方正小标宋简体" w:hint="eastAsia"/>
          <w:sz w:val="30"/>
          <w:szCs w:val="30"/>
        </w:rPr>
        <w:t>三公</w:t>
      </w:r>
      <w:r>
        <w:rPr>
          <w:rFonts w:ascii="仿宋_GB2312" w:eastAsia="仿宋_GB2312" w:hAnsi="黑体" w:cs="方正小标宋简体" w:hint="eastAsia"/>
          <w:sz w:val="30"/>
          <w:szCs w:val="30"/>
        </w:rPr>
        <w:t>“</w:t>
      </w:r>
      <w:r>
        <w:rPr>
          <w:rFonts w:ascii="仿宋_GB2312" w:eastAsia="仿宋_GB2312" w:hAnsi="黑体" w:cs="方正小标宋简体" w:hint="eastAsia"/>
          <w:sz w:val="30"/>
          <w:szCs w:val="30"/>
        </w:rPr>
        <w:t xml:space="preserve">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 </w:t>
      </w:r>
    </w:p>
    <w:p>
      <w:pPr>
        <w:rPr>
          <w:rFonts w:ascii="Arial" w:eastAsia="Arial" w:hAnsi="Arial" w:cs="Arial"/>
          <w:b/>
          <w:sz w:val="36"/>
        </w:rPr>
      </w:pPr>
      <w:r>
        <w:rPr>
          <w:rFonts w:ascii="Arial" w:eastAsia="Arial" w:hAnsi="Arial" w:cs="Arial"/>
          <w:b/>
          <w:sz w:val="36"/>
        </w:rPr>
        <w:t>监督索引号53340000143101111</w:t>
      </w:r>
    </w:p>
    <w:sectPr>
      <w:headerReference w:type="default" r:id="rId4"/>
      <w:footerReference w:type="even" r:id="rId5"/>
      <w:footerReference w:type="default" r:id="rId6"/>
      <w:pgSz w:w="11906" w:h="16838"/>
      <w:pgMar w:top="2098" w:right="1418" w:bottom="1588" w:left="1644" w:header="851" w:footer="992" w:gutter="0"/>
      <w:cols w:space="708"/>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altName w:val="宋体-方正超大字符集"/>
    <w:panose1 w:val="03000509000000000000"/>
    <w:charset w:val="86"/>
    <w:family w:val="script"/>
    <w:pitch w:val="default"/>
    <w:sig w:usb0="00000001" w:usb1="080E0000" w:usb2="00000000" w:usb3="00000000" w:csb0="00040000" w:csb1="00000000"/>
  </w:font>
  <w:font w:name="黑体">
    <w:panose1 w:val="02010600030101010101"/>
    <w:charset w:val="86"/>
    <w:family w:val="auto"/>
    <w:pitch w:val="default"/>
    <w:sig w:usb0="00000001" w:usb1="080E0000" w:usb2="00000000" w:usb3="00000000" w:csb0="00040000" w:csb1="00000000"/>
  </w:font>
  <w:font w:name="楷体">
    <w:altName w:val="楷体_GB2312"/>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roman"/>
    <w:pitch w:val="default"/>
    <w:sig w:usb0="00000001"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center" w:y="1"/>
      <w:tabs>
        <w:tab w:val="center" w:pos="4153"/>
        <w:tab w:val="right" w:pos="8306"/>
      </w:tabs>
      <w:rPr>
        <w:rStyle w:val="PageNumber"/>
      </w:rPr>
    </w:pPr>
    <w:r>
      <w:fldChar w:fldCharType="begin"/>
    </w:r>
    <w:r>
      <w:rPr>
        <w:rStyle w:val="PageNumber"/>
      </w:rPr>
      <w:instrText xml:space="preserve">PAGE  </w:instrText>
    </w:r>
    <w:r>
      <w:fldChar w:fldCharType="separate"/>
    </w:r>
    <w:r>
      <w:fldChar w:fldCharType="end"/>
    </w:r>
  </w:p>
  <w:p>
    <w:pPr>
      <w:pStyle w:val="Footer"/>
      <w:tabs>
        <w:tab w:val="center" w:pos="4153"/>
        <w:tab w:val="right" w:pos="8306"/>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center" w:y="1"/>
      <w:tabs>
        <w:tab w:val="center" w:pos="4153"/>
        <w:tab w:val="right" w:pos="8306"/>
      </w:tabs>
      <w:rPr>
        <w:rStyle w:val="PageNumber"/>
      </w:rPr>
    </w:pPr>
    <w:r>
      <w:fldChar w:fldCharType="begin"/>
    </w:r>
    <w:r>
      <w:rPr>
        <w:rStyle w:val="PageNumber"/>
      </w:rPr>
      <w:instrText xml:space="preserve">PAGE  </w:instrText>
    </w:r>
    <w:r>
      <w:fldChar w:fldCharType="separate"/>
    </w:r>
    <w:r>
      <w:rPr>
        <w:rStyle w:val="PageNumber"/>
      </w:rPr>
      <w:t>8</w:t>
    </w:r>
    <w:r>
      <w:fldChar w:fldCharType="end"/>
    </w:r>
  </w:p>
  <w:p>
    <w:pPr>
      <w:pStyle w:val="Footer"/>
      <w:tabs>
        <w:tab w:val="center" w:pos="4153"/>
        <w:tab w:val="right" w:pos="8306"/>
      </w:tabs>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one" w:sz="0" w:space="0" w:color="auto"/>
      </w:pBdr>
      <w:tabs>
        <w:tab w:val="center" w:pos="4153"/>
        <w:tab w:val="right"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ECBAFFD"/>
    <w:multiLevelType w:val="singleLevel"/>
    <w:tmpl w:val="EECBAFFD"/>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en-US" w:val="([{·‘“〈《「『【〔〖（．［｛￡￥"/>
  <w:noLineBreaksBefore w:lang="en-US" w:val="!),.:;?]}¨·ˇˉ―‖’”…∶、。〃々〉》」』】〕〗！＂＇），．：；？］｀｜｝～￠"/>
  <w:endnotePr>
    <w:numFmt w:val="decimal"/>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1258E"/>
    <w:rsid w:val="00014033"/>
    <w:rsid w:val="00015917"/>
    <w:rsid w:val="0003511E"/>
    <w:rsid w:val="000913E4"/>
    <w:rsid w:val="00096FD6"/>
    <w:rsid w:val="000A6010"/>
    <w:rsid w:val="000C3242"/>
    <w:rsid w:val="000E1FB4"/>
    <w:rsid w:val="000F1483"/>
    <w:rsid w:val="0010004D"/>
    <w:rsid w:val="001263DA"/>
    <w:rsid w:val="001374A6"/>
    <w:rsid w:val="001536A4"/>
    <w:rsid w:val="00154575"/>
    <w:rsid w:val="001749E4"/>
    <w:rsid w:val="00182815"/>
    <w:rsid w:val="001A0E45"/>
    <w:rsid w:val="001A3A9F"/>
    <w:rsid w:val="001C2096"/>
    <w:rsid w:val="001C6512"/>
    <w:rsid w:val="00224AF2"/>
    <w:rsid w:val="002360A6"/>
    <w:rsid w:val="002718E1"/>
    <w:rsid w:val="0029065D"/>
    <w:rsid w:val="002A35DC"/>
    <w:rsid w:val="002B295A"/>
    <w:rsid w:val="002D0360"/>
    <w:rsid w:val="002E1618"/>
    <w:rsid w:val="00310284"/>
    <w:rsid w:val="003663D2"/>
    <w:rsid w:val="00371195"/>
    <w:rsid w:val="00392FEE"/>
    <w:rsid w:val="00393375"/>
    <w:rsid w:val="003938CD"/>
    <w:rsid w:val="003A263E"/>
    <w:rsid w:val="003C233F"/>
    <w:rsid w:val="003E167F"/>
    <w:rsid w:val="003F462A"/>
    <w:rsid w:val="0040467A"/>
    <w:rsid w:val="00430657"/>
    <w:rsid w:val="004375EE"/>
    <w:rsid w:val="0045007E"/>
    <w:rsid w:val="004636A8"/>
    <w:rsid w:val="0048090A"/>
    <w:rsid w:val="0049341E"/>
    <w:rsid w:val="004D1694"/>
    <w:rsid w:val="004D5A12"/>
    <w:rsid w:val="004E71D9"/>
    <w:rsid w:val="0050289F"/>
    <w:rsid w:val="005144D0"/>
    <w:rsid w:val="0052295E"/>
    <w:rsid w:val="00550133"/>
    <w:rsid w:val="0055230D"/>
    <w:rsid w:val="005545C8"/>
    <w:rsid w:val="00557069"/>
    <w:rsid w:val="00575AC5"/>
    <w:rsid w:val="0057690C"/>
    <w:rsid w:val="00577096"/>
    <w:rsid w:val="005A1A61"/>
    <w:rsid w:val="005B558B"/>
    <w:rsid w:val="005C5BF9"/>
    <w:rsid w:val="005D3F26"/>
    <w:rsid w:val="005E4A61"/>
    <w:rsid w:val="0060151B"/>
    <w:rsid w:val="006021EC"/>
    <w:rsid w:val="00607AF7"/>
    <w:rsid w:val="006219B9"/>
    <w:rsid w:val="0062634D"/>
    <w:rsid w:val="00640B67"/>
    <w:rsid w:val="00651567"/>
    <w:rsid w:val="006546F4"/>
    <w:rsid w:val="0066092E"/>
    <w:rsid w:val="00680F7A"/>
    <w:rsid w:val="00697350"/>
    <w:rsid w:val="006A112F"/>
    <w:rsid w:val="006C4F21"/>
    <w:rsid w:val="006D02F7"/>
    <w:rsid w:val="006E45B7"/>
    <w:rsid w:val="006E7A1A"/>
    <w:rsid w:val="007249B2"/>
    <w:rsid w:val="00734A8A"/>
    <w:rsid w:val="007627A1"/>
    <w:rsid w:val="0076459B"/>
    <w:rsid w:val="00776986"/>
    <w:rsid w:val="00783A08"/>
    <w:rsid w:val="007A132A"/>
    <w:rsid w:val="007A375D"/>
    <w:rsid w:val="007A61A0"/>
    <w:rsid w:val="007B0761"/>
    <w:rsid w:val="007B4F9A"/>
    <w:rsid w:val="007B548C"/>
    <w:rsid w:val="007B65F4"/>
    <w:rsid w:val="007D1D2B"/>
    <w:rsid w:val="007D5A1D"/>
    <w:rsid w:val="007E38F7"/>
    <w:rsid w:val="007F0EE2"/>
    <w:rsid w:val="007F6762"/>
    <w:rsid w:val="008066B7"/>
    <w:rsid w:val="00816AEC"/>
    <w:rsid w:val="00823B32"/>
    <w:rsid w:val="0085209F"/>
    <w:rsid w:val="008563D1"/>
    <w:rsid w:val="00890779"/>
    <w:rsid w:val="008A4EFB"/>
    <w:rsid w:val="008C6076"/>
    <w:rsid w:val="008D757B"/>
    <w:rsid w:val="008E399D"/>
    <w:rsid w:val="008F39D5"/>
    <w:rsid w:val="00905397"/>
    <w:rsid w:val="00944AE2"/>
    <w:rsid w:val="00953916"/>
    <w:rsid w:val="00960215"/>
    <w:rsid w:val="0096611B"/>
    <w:rsid w:val="00966EA3"/>
    <w:rsid w:val="00981B86"/>
    <w:rsid w:val="0099058A"/>
    <w:rsid w:val="00995C9D"/>
    <w:rsid w:val="0099708C"/>
    <w:rsid w:val="009B39E4"/>
    <w:rsid w:val="009C2C9B"/>
    <w:rsid w:val="009C3DCD"/>
    <w:rsid w:val="009E20C7"/>
    <w:rsid w:val="009E3711"/>
    <w:rsid w:val="009E50DD"/>
    <w:rsid w:val="009E7A81"/>
    <w:rsid w:val="009F0254"/>
    <w:rsid w:val="009F18A4"/>
    <w:rsid w:val="00A07799"/>
    <w:rsid w:val="00A3510F"/>
    <w:rsid w:val="00A52885"/>
    <w:rsid w:val="00A60382"/>
    <w:rsid w:val="00A712DC"/>
    <w:rsid w:val="00A72DA9"/>
    <w:rsid w:val="00A77BF1"/>
    <w:rsid w:val="00A86C65"/>
    <w:rsid w:val="00A94999"/>
    <w:rsid w:val="00A96DEB"/>
    <w:rsid w:val="00AC573F"/>
    <w:rsid w:val="00B07829"/>
    <w:rsid w:val="00B115F4"/>
    <w:rsid w:val="00B4333E"/>
    <w:rsid w:val="00B5366F"/>
    <w:rsid w:val="00B80AAC"/>
    <w:rsid w:val="00B81D10"/>
    <w:rsid w:val="00B9604E"/>
    <w:rsid w:val="00BA3948"/>
    <w:rsid w:val="00BB3509"/>
    <w:rsid w:val="00BC73ED"/>
    <w:rsid w:val="00BE3E47"/>
    <w:rsid w:val="00BE7B81"/>
    <w:rsid w:val="00BF0A0B"/>
    <w:rsid w:val="00BF7CE7"/>
    <w:rsid w:val="00C0360F"/>
    <w:rsid w:val="00C236BC"/>
    <w:rsid w:val="00C3042C"/>
    <w:rsid w:val="00C35F72"/>
    <w:rsid w:val="00C37B42"/>
    <w:rsid w:val="00C430D2"/>
    <w:rsid w:val="00C4706B"/>
    <w:rsid w:val="00C53096"/>
    <w:rsid w:val="00C61925"/>
    <w:rsid w:val="00C94711"/>
    <w:rsid w:val="00CC1CE8"/>
    <w:rsid w:val="00CD4CE9"/>
    <w:rsid w:val="00D1253E"/>
    <w:rsid w:val="00D2484E"/>
    <w:rsid w:val="00DA0649"/>
    <w:rsid w:val="00DB4697"/>
    <w:rsid w:val="00DB67A4"/>
    <w:rsid w:val="00DC77E2"/>
    <w:rsid w:val="00DD261E"/>
    <w:rsid w:val="00DF1053"/>
    <w:rsid w:val="00DF1BEC"/>
    <w:rsid w:val="00E36604"/>
    <w:rsid w:val="00E662AA"/>
    <w:rsid w:val="00E769E8"/>
    <w:rsid w:val="00E80B36"/>
    <w:rsid w:val="00E9395C"/>
    <w:rsid w:val="00EA2124"/>
    <w:rsid w:val="00EC24BF"/>
    <w:rsid w:val="00ED7654"/>
    <w:rsid w:val="00EE750D"/>
    <w:rsid w:val="00F37401"/>
    <w:rsid w:val="00F44882"/>
    <w:rsid w:val="00F73DAF"/>
    <w:rsid w:val="00F74193"/>
    <w:rsid w:val="00F9286C"/>
    <w:rsid w:val="00F94DB0"/>
    <w:rsid w:val="00FA48DF"/>
    <w:rsid w:val="00FF6A71"/>
    <w:rsid w:val="05FA3078"/>
    <w:rsid w:val="08DF0D3E"/>
    <w:rsid w:val="0CB915D7"/>
    <w:rsid w:val="0F5F06D3"/>
    <w:rsid w:val="109A2368"/>
    <w:rsid w:val="1253626C"/>
    <w:rsid w:val="12AF3DA1"/>
    <w:rsid w:val="14BC7366"/>
    <w:rsid w:val="1B9A76F1"/>
    <w:rsid w:val="22BA1854"/>
    <w:rsid w:val="253B1B6C"/>
    <w:rsid w:val="2C2C7BFF"/>
    <w:rsid w:val="2EBD6C76"/>
    <w:rsid w:val="308B5643"/>
    <w:rsid w:val="34BB6EC6"/>
    <w:rsid w:val="37364169"/>
    <w:rsid w:val="38A4501B"/>
    <w:rsid w:val="47A16424"/>
    <w:rsid w:val="4C5E50B3"/>
    <w:rsid w:val="4FCC7BC5"/>
    <w:rsid w:val="52BC6998"/>
    <w:rsid w:val="54EB74BC"/>
    <w:rsid w:val="77207610"/>
    <w:rsid w:val="78AF2483"/>
    <w:rsid w:val="79EB17A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lsdException w:name="annotation subject" w:semiHidden="0" w:uiPriority="0" w:unhideWhenUsed="0"/>
    <w:lsdException w:name="Balloon Text"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kern w:val="2"/>
      <w:sz w:val="21"/>
      <w:szCs w:val="24"/>
      <w:lang w:val="en-US" w:eastAsia="zh-CN" w:bidi="ar-SA"/>
    </w:rPr>
  </w:style>
  <w:style w:type="character" w:default="1" w:styleId="DefaultParagraphFont">
    <w:name w:val="Default Paragraph Font"/>
    <w:semiHidden/>
  </w:style>
  <w:style w:type="table" w:default="1" w:styleId="TableNormal">
    <w:name w:val="Normal Table"/>
    <w:uiPriority w:val="99"/>
    <w:unhideWhenUsed/>
    <w:tblPr>
      <w:tblCellMar>
        <w:top w:w="0" w:type="dxa"/>
        <w:left w:w="108" w:type="dxa"/>
        <w:bottom w:w="0" w:type="dxa"/>
        <w:right w:w="108" w:type="dxa"/>
      </w:tblCellMar>
    </w:tblPr>
  </w:style>
  <w:style w:type="character" w:customStyle="1" w:styleId="font11">
    <w:name w:val="font11"/>
    <w:basedOn w:val="DefaultParagraphFont"/>
    <w:rPr>
      <w:rFonts w:ascii="宋体" w:eastAsia="宋体" w:hAnsi="宋体" w:cs="宋体" w:hint="eastAsia"/>
      <w:color w:val="000000"/>
      <w:sz w:val="20"/>
      <w:szCs w:val="20"/>
      <w:u w:val="none"/>
    </w:rPr>
  </w:style>
  <w:style w:type="character" w:styleId="PageNumber">
    <w:name w:val="page number"/>
    <w:basedOn w:val="DefaultParagraphFont"/>
  </w:style>
  <w:style w:type="character" w:customStyle="1" w:styleId="font01">
    <w:name w:val="font01"/>
    <w:basedOn w:val="DefaultParagraphFont"/>
    <w:rPr>
      <w:rFonts w:ascii="Arial" w:hAnsi="Arial" w:cs="Arial" w:hint="default"/>
      <w:color w:val="000000"/>
      <w:sz w:val="20"/>
      <w:szCs w:val="20"/>
      <w:u w:val="none"/>
    </w:rPr>
  </w:style>
  <w:style w:type="paragraph" w:styleId="BodyText">
    <w:name w:val="Body Text"/>
    <w:basedOn w:val="Normal"/>
    <w:pPr>
      <w:spacing w:before="93" w:beforeLines="30"/>
    </w:pPr>
    <w:rPr>
      <w:rFonts w:ascii="仿宋_GB2312" w:eastAsia="仿宋_GB2312"/>
      <w:sz w:val="30"/>
    </w:rPr>
  </w:style>
  <w:style w:type="paragraph" w:styleId="Footer">
    <w:name w:val="footer"/>
    <w:basedOn w:val="Normal"/>
    <w:pPr>
      <w:tabs>
        <w:tab w:val="center" w:pos="4153"/>
        <w:tab w:val="right" w:pos="8306"/>
      </w:tabs>
      <w:snapToGrid w:val="0"/>
      <w:jc w:val="left"/>
    </w:pPr>
    <w:rPr>
      <w:sz w:val="18"/>
      <w:szCs w:val="18"/>
    </w:rPr>
  </w:style>
  <w:style w:type="paragraph" w:styleId="Header">
    <w:name w:val="header"/>
    <w:basedOn w:val="Normal"/>
    <w:pPr>
      <w:pBdr>
        <w:bottom w:val="single" w:sz="6" w:space="1" w:color="auto"/>
      </w:pBdr>
      <w:tabs>
        <w:tab w:val="center" w:pos="4153"/>
        <w:tab w:val="right" w:pos="8306"/>
      </w:tabs>
      <w:snapToGrid w:val="0"/>
      <w:jc w:val="center"/>
    </w:pPr>
    <w:rPr>
      <w:sz w:val="18"/>
      <w:szCs w:val="18"/>
    </w:rPr>
  </w:style>
  <w:style w:type="paragraph" w:styleId="BalloonText">
    <w:name w:val="Balloon Text"/>
    <w:basedOn w:val="Normal"/>
    <w:semiHidden/>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numbering" Target="numbering.xml" /><Relationship Id="rId8"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Normal.dotm</Template>
  <TotalTime>157572960</TotalTime>
  <Pages>9</Pages>
  <Words>598</Words>
  <Characters>3413</Characters>
  <Application>Microsoft Office Word</Application>
  <DocSecurity>0</DocSecurity>
  <Lines>28</Lines>
  <Paragraphs>8</Paragraphs>
  <ScaleCrop>false</ScaleCrop>
  <Company>微软中国</Company>
  <LinksUpToDate>false</LinksUpToDate>
  <CharactersWithSpaces>4003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四川省财政厅2011年部门预算编制说明</dc:title>
  <dc:creator>赵树子</dc:creator>
  <cp:lastModifiedBy>Administrator</cp:lastModifiedBy>
  <cp:revision>130</cp:revision>
  <cp:lastPrinted>2019-06-21T10:52:36Z</cp:lastPrinted>
  <dcterms:created xsi:type="dcterms:W3CDTF">2013-05-09T09:41:00Z</dcterms:created>
  <dcterms:modified xsi:type="dcterms:W3CDTF">2019-10-21T06:42:18Z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