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迪庆州住房公积金管理中心2018年部门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预算编制信息公开目录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</w:pPr>
    </w:p>
    <w:p>
      <w:pPr>
        <w:widowControl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附件一：关于迪庆州住房公积金管理中心2018年部门预算编制的说明</w:t>
      </w:r>
    </w:p>
    <w:p>
      <w:pPr>
        <w:widowControl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附件二：迪庆州住房公积金管理中心2018年部门预算附表</w:t>
      </w:r>
    </w:p>
    <w:p>
      <w:pPr>
        <w:widowControl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表一、财政拨款收支预算总表</w:t>
      </w:r>
    </w:p>
    <w:p>
      <w:pPr>
        <w:widowControl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表二、一般公共预算支出表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ab/>
      </w:r>
    </w:p>
    <w:p>
      <w:pPr>
        <w:widowControl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表三、基本支出预算表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ab/>
      </w:r>
    </w:p>
    <w:p>
      <w:pPr>
        <w:widowControl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表四、政府性基金预算支出表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ab/>
      </w:r>
    </w:p>
    <w:p>
      <w:pPr>
        <w:widowControl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表五、部门收支总表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ab/>
      </w:r>
    </w:p>
    <w:p>
      <w:pPr>
        <w:widowControl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表六、部门收入总表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ab/>
      </w:r>
    </w:p>
    <w:p>
      <w:pPr>
        <w:widowControl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表七、部门支出总表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ab/>
      </w:r>
    </w:p>
    <w:p>
      <w:pPr>
        <w:widowControl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表八、经济分类科目支出表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ab/>
      </w:r>
    </w:p>
    <w:p>
      <w:pPr>
        <w:widowControl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表九、“三公”经费公共财政拨款支出情况表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ab/>
      </w:r>
    </w:p>
    <w:p>
      <w:pPr>
        <w:widowControl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表十、省本级绩效目标表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ab/>
      </w:r>
    </w:p>
    <w:p>
      <w:pPr>
        <w:widowControl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表十一、省对下绩效目标表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ab/>
      </w:r>
    </w:p>
    <w:p>
      <w:pPr>
        <w:widowControl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表十二、政府采购预算表</w:t>
      </w:r>
    </w:p>
    <w:p>
      <w:pPr>
        <w:widowControl/>
        <w:jc w:val="left"/>
        <w:rPr>
          <w:rFonts w:hint="eastAsia" w:ascii="方正小标宋简体" w:eastAsia="方正小标宋简体"/>
          <w:kern w:val="0"/>
          <w:sz w:val="30"/>
          <w:szCs w:val="30"/>
          <w:lang w:val="en-US" w:eastAsia="zh-CN"/>
        </w:rPr>
      </w:pPr>
    </w:p>
    <w:p>
      <w:pPr>
        <w:widowControl/>
        <w:jc w:val="left"/>
        <w:rPr>
          <w:rFonts w:hint="eastAsia" w:ascii="方正小标宋简体" w:eastAsia="方正小标宋简体"/>
          <w:kern w:val="0"/>
          <w:sz w:val="30"/>
          <w:szCs w:val="30"/>
          <w:lang w:val="en-US" w:eastAsia="zh-CN"/>
        </w:rPr>
      </w:pPr>
    </w:p>
    <w:p>
      <w:pPr>
        <w:widowControl/>
        <w:jc w:val="left"/>
        <w:rPr>
          <w:rFonts w:hint="eastAsia" w:ascii="方正小标宋简体" w:eastAsia="方正小标宋简体"/>
          <w:kern w:val="0"/>
          <w:sz w:val="30"/>
          <w:szCs w:val="30"/>
          <w:lang w:val="en-US" w:eastAsia="zh-CN"/>
        </w:rPr>
      </w:pPr>
    </w:p>
    <w:p>
      <w:pPr>
        <w:widowControl/>
        <w:jc w:val="left"/>
        <w:rPr>
          <w:rFonts w:hint="eastAsia" w:ascii="方正小标宋简体" w:eastAsia="方正小标宋简体"/>
          <w:kern w:val="0"/>
          <w:sz w:val="30"/>
          <w:szCs w:val="30"/>
          <w:lang w:val="en-US" w:eastAsia="zh-CN"/>
        </w:rPr>
      </w:pPr>
    </w:p>
    <w:p>
      <w:pPr>
        <w:widowControl/>
        <w:jc w:val="left"/>
        <w:rPr>
          <w:rFonts w:hint="eastAsia" w:ascii="方正小标宋简体" w:eastAsia="方正小标宋简体"/>
          <w:kern w:val="0"/>
          <w:sz w:val="30"/>
          <w:szCs w:val="30"/>
          <w:lang w:val="en-US" w:eastAsia="zh-CN"/>
        </w:rPr>
      </w:pPr>
    </w:p>
    <w:p>
      <w:pPr>
        <w:widowControl/>
        <w:jc w:val="left"/>
        <w:rPr>
          <w:rFonts w:hint="eastAsia" w:ascii="方正小标宋简体" w:eastAsia="方正小标宋简体"/>
          <w:kern w:val="0"/>
          <w:sz w:val="30"/>
          <w:szCs w:val="30"/>
          <w:lang w:val="en-US" w:eastAsia="zh-CN"/>
        </w:rPr>
      </w:pPr>
    </w:p>
    <w:p>
      <w:pPr>
        <w:widowControl/>
        <w:jc w:val="left"/>
        <w:rPr>
          <w:rFonts w:hint="eastAsia" w:ascii="方正小标宋简体" w:eastAsia="方正小标宋简体"/>
          <w:kern w:val="0"/>
          <w:sz w:val="30"/>
          <w:szCs w:val="30"/>
          <w:lang w:val="en-US" w:eastAsia="zh-CN"/>
        </w:rPr>
      </w:pPr>
      <w:r>
        <w:rPr>
          <w:rFonts w:hint="eastAsia" w:ascii="方正小标宋简体" w:eastAsia="方正小标宋简体"/>
          <w:kern w:val="0"/>
          <w:sz w:val="30"/>
          <w:szCs w:val="30"/>
          <w:lang w:val="en-US" w:eastAsia="zh-CN"/>
        </w:rPr>
        <w:t>附件1：</w:t>
      </w:r>
    </w:p>
    <w:p>
      <w:pPr>
        <w:widowControl/>
        <w:jc w:val="center"/>
        <w:rPr>
          <w:rFonts w:hint="eastAsia" w:ascii="方正小标宋简体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/>
          <w:kern w:val="0"/>
          <w:sz w:val="36"/>
          <w:szCs w:val="36"/>
          <w:lang w:val="en-US" w:eastAsia="zh-CN"/>
        </w:rPr>
        <w:t xml:space="preserve">     </w:t>
      </w:r>
      <w:r>
        <w:rPr>
          <w:rFonts w:hint="eastAsia" w:ascii="方正小标宋简体" w:eastAsia="方正小标宋简体"/>
          <w:kern w:val="0"/>
          <w:sz w:val="36"/>
          <w:szCs w:val="36"/>
          <w:lang w:eastAsia="zh-CN"/>
        </w:rPr>
        <w:t>迪庆州住房公积金管理中心</w:t>
      </w:r>
      <w:r>
        <w:rPr>
          <w:rFonts w:hint="eastAsia" w:ascii="方正小标宋简体" w:eastAsia="方正小标宋简体"/>
          <w:kern w:val="0"/>
          <w:sz w:val="36"/>
          <w:szCs w:val="36"/>
          <w:lang w:val="en-US" w:eastAsia="zh-CN"/>
        </w:rPr>
        <w:t>2018</w:t>
      </w:r>
      <w:r>
        <w:rPr>
          <w:rFonts w:hint="eastAsia" w:ascii="方正小标宋简体" w:eastAsia="方正小标宋简体"/>
          <w:kern w:val="0"/>
          <w:sz w:val="36"/>
          <w:szCs w:val="36"/>
        </w:rPr>
        <w:t>年部门</w:t>
      </w:r>
    </w:p>
    <w:p>
      <w:pPr>
        <w:widowControl/>
        <w:jc w:val="center"/>
        <w:rPr>
          <w:rFonts w:ascii="黑体" w:hAnsi="黑体" w:eastAsia="黑体"/>
          <w:kern w:val="0"/>
          <w:sz w:val="30"/>
          <w:szCs w:val="30"/>
        </w:rPr>
      </w:pPr>
      <w:r>
        <w:rPr>
          <w:rFonts w:hint="eastAsia" w:ascii="方正小标宋简体" w:eastAsia="方正小标宋简体"/>
          <w:kern w:val="0"/>
          <w:sz w:val="36"/>
          <w:szCs w:val="36"/>
        </w:rPr>
        <w:t>预算编制说明</w:t>
      </w:r>
    </w:p>
    <w:p>
      <w:pPr>
        <w:widowControl/>
        <w:ind w:firstLine="450" w:firstLineChars="150"/>
        <w:jc w:val="left"/>
        <w:rPr>
          <w:rFonts w:ascii="黑体" w:hAnsi="黑体" w:eastAsia="黑体"/>
          <w:kern w:val="0"/>
          <w:sz w:val="30"/>
          <w:szCs w:val="30"/>
        </w:rPr>
      </w:pPr>
      <w:r>
        <w:rPr>
          <w:rFonts w:ascii="黑体" w:hAnsi="黑体" w:eastAsia="黑体"/>
          <w:kern w:val="0"/>
          <w:sz w:val="30"/>
          <w:szCs w:val="30"/>
        </w:rPr>
        <w:t>一、基本职能及主要工作</w:t>
      </w:r>
    </w:p>
    <w:p>
      <w:pPr>
        <w:widowControl/>
        <w:ind w:firstLine="300" w:firstLineChars="100"/>
        <w:jc w:val="left"/>
        <w:rPr>
          <w:rFonts w:ascii="楷体_GB2312" w:eastAsia="楷体_GB2312"/>
          <w:b/>
          <w:kern w:val="0"/>
          <w:sz w:val="30"/>
          <w:szCs w:val="30"/>
        </w:rPr>
      </w:pPr>
      <w:r>
        <w:rPr>
          <w:rFonts w:hint="eastAsia" w:ascii="楷体_GB2312" w:eastAsia="楷体_GB2312"/>
          <w:kern w:val="0"/>
          <w:sz w:val="30"/>
          <w:szCs w:val="30"/>
        </w:rPr>
        <w:t>（一）部门主要职责</w:t>
      </w:r>
    </w:p>
    <w:p>
      <w:pPr>
        <w:widowControl/>
        <w:ind w:firstLine="300" w:firstLineChars="1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1、管理住房公积金，促进住房制度改革。</w:t>
      </w:r>
    </w:p>
    <w:p>
      <w:pPr>
        <w:widowControl/>
        <w:ind w:firstLine="300" w:firstLineChars="1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2、住房公积金使用计划编制与执行，住房公积金提取与使用审批，职工住房公积金缴存提取与使用情况记载。</w:t>
      </w:r>
    </w:p>
    <w:p>
      <w:pPr>
        <w:widowControl/>
        <w:ind w:firstLine="300" w:firstLineChars="1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3、住房公积金核算，住房公积金保值与归还。</w:t>
      </w:r>
    </w:p>
    <w:p>
      <w:pPr>
        <w:widowControl/>
        <w:ind w:left="298" w:leftChars="142" w:firstLine="0" w:firstLineChars="0"/>
        <w:jc w:val="left"/>
        <w:rPr>
          <w:rFonts w:ascii="楷体_GB2312" w:eastAsia="楷体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4、住房公积金执行报告编制，缴存住房公积金有效凭证发放。</w:t>
      </w:r>
      <w:r>
        <w:rPr>
          <w:rFonts w:hint="eastAsia" w:ascii="楷体_GB2312" w:eastAsia="楷体_GB2312"/>
          <w:kern w:val="0"/>
          <w:sz w:val="30"/>
          <w:szCs w:val="30"/>
        </w:rPr>
        <w:t>（二）机构设置情况</w:t>
      </w:r>
    </w:p>
    <w:p>
      <w:pPr>
        <w:widowControl/>
        <w:ind w:firstLine="300" w:firstLineChars="1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迪庆州住房公积金管理中心是财政全额拨款副处级事业单位，内设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信贷科、归集科、会计科、办公室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4个职能科室，下设香格里拉市管理部、维西管理部、德钦管理部3个派驻机构。</w:t>
      </w:r>
    </w:p>
    <w:p>
      <w:pPr>
        <w:widowControl/>
        <w:ind w:firstLine="300" w:firstLineChars="100"/>
        <w:jc w:val="left"/>
        <w:rPr>
          <w:rFonts w:ascii="楷体_GB2312" w:eastAsia="楷体_GB2312"/>
          <w:kern w:val="0"/>
          <w:sz w:val="30"/>
          <w:szCs w:val="30"/>
        </w:rPr>
      </w:pPr>
      <w:r>
        <w:rPr>
          <w:rFonts w:ascii="楷体_GB2312" w:eastAsia="楷体_GB2312"/>
          <w:kern w:val="0"/>
          <w:sz w:val="30"/>
          <w:szCs w:val="30"/>
        </w:rPr>
        <w:t>（</w:t>
      </w:r>
      <w:r>
        <w:rPr>
          <w:rFonts w:hint="eastAsia" w:ascii="楷体_GB2312" w:eastAsia="楷体_GB2312"/>
          <w:kern w:val="0"/>
          <w:sz w:val="30"/>
          <w:szCs w:val="30"/>
        </w:rPr>
        <w:t>三</w:t>
      </w:r>
      <w:r>
        <w:rPr>
          <w:rFonts w:ascii="楷体_GB2312" w:eastAsia="楷体_GB2312"/>
          <w:kern w:val="0"/>
          <w:sz w:val="30"/>
          <w:szCs w:val="30"/>
        </w:rPr>
        <w:t>）重点工作概述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201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年住房公积金管理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中心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认真贯彻科学发展观重要思想，按照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州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委、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州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政府的工作要求，在工作中着重围绕归集任务，加大归集执法力度，强化依法征缴，努力优化贷款服务，不断加强管理监督，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使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各项工作取得较大的进展。</w:t>
      </w:r>
    </w:p>
    <w:p>
      <w:pPr>
        <w:widowControl/>
        <w:ind w:firstLine="600" w:firstLineChars="200"/>
        <w:jc w:val="left"/>
        <w:rPr>
          <w:rFonts w:ascii="黑体" w:hAnsi="黑体" w:eastAsia="黑体"/>
          <w:kern w:val="0"/>
          <w:sz w:val="30"/>
          <w:szCs w:val="30"/>
        </w:rPr>
      </w:pPr>
      <w:r>
        <w:rPr>
          <w:rFonts w:ascii="黑体" w:hAnsi="黑体" w:eastAsia="黑体"/>
          <w:kern w:val="0"/>
          <w:sz w:val="30"/>
          <w:szCs w:val="30"/>
        </w:rPr>
        <w:t>二、预算单位基本情况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我部门编制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年部门预算单位共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个。其中：财政全供给单位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个。财政全供给单位中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事业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单位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个。截止2017年1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月统计，部门基本情况如下：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在职人员编制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人，其中：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事业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编制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人，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工勤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编制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人。在职实有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人，其中： 财政全供养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人。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离退休人员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人，其中： 离休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人，退休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人。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车辆编制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辆，实有车辆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辆。</w:t>
      </w:r>
    </w:p>
    <w:p>
      <w:pPr>
        <w:widowControl/>
        <w:ind w:firstLine="600" w:firstLineChars="200"/>
        <w:jc w:val="left"/>
        <w:rPr>
          <w:rFonts w:ascii="黑体" w:hAnsi="黑体" w:eastAsia="黑体"/>
          <w:kern w:val="0"/>
          <w:sz w:val="30"/>
          <w:szCs w:val="30"/>
        </w:rPr>
      </w:pPr>
      <w:r>
        <w:rPr>
          <w:rFonts w:ascii="黑体" w:hAnsi="黑体" w:eastAsia="黑体"/>
          <w:kern w:val="0"/>
          <w:sz w:val="30"/>
          <w:szCs w:val="30"/>
        </w:rPr>
        <w:t>三、预算单位收入情况</w:t>
      </w:r>
    </w:p>
    <w:p>
      <w:pPr>
        <w:widowControl/>
        <w:ind w:firstLine="450" w:firstLineChars="150"/>
        <w:jc w:val="left"/>
        <w:rPr>
          <w:rFonts w:ascii="楷体_GB2312" w:eastAsia="楷体_GB2312"/>
          <w:kern w:val="0"/>
          <w:sz w:val="30"/>
          <w:szCs w:val="30"/>
        </w:rPr>
      </w:pPr>
      <w:r>
        <w:rPr>
          <w:rFonts w:ascii="楷体_GB2312" w:eastAsia="楷体_GB2312"/>
          <w:kern w:val="0"/>
          <w:sz w:val="30"/>
          <w:szCs w:val="30"/>
        </w:rPr>
        <w:t>（一）部门财务收入情况</w:t>
      </w:r>
    </w:p>
    <w:p>
      <w:pPr>
        <w:widowControl/>
        <w:ind w:firstLine="750" w:firstLineChars="25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年部门财务总收入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588.58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万元，其中：一般公共预算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588.58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万元，政府性基金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万元，国有资本经营收益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万元，事业收入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万元，事业单位经营收入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万元，其他收入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万元。</w:t>
      </w:r>
    </w:p>
    <w:p>
      <w:pPr>
        <w:widowControl/>
        <w:ind w:firstLine="450" w:firstLineChars="150"/>
        <w:jc w:val="left"/>
        <w:rPr>
          <w:rFonts w:ascii="楷体_GB2312" w:eastAsia="楷体_GB2312"/>
          <w:kern w:val="0"/>
          <w:sz w:val="30"/>
          <w:szCs w:val="30"/>
        </w:rPr>
      </w:pPr>
      <w:r>
        <w:rPr>
          <w:rFonts w:ascii="楷体_GB2312" w:eastAsia="楷体_GB2312"/>
          <w:kern w:val="0"/>
          <w:sz w:val="30"/>
          <w:szCs w:val="30"/>
        </w:rPr>
        <w:t>（二）财政拨款收入情况</w:t>
      </w:r>
    </w:p>
    <w:p>
      <w:pPr>
        <w:widowControl/>
        <w:ind w:firstLine="750" w:firstLineChars="25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年部门财政拨款收入 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588.58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万元，其中:本年收入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588.58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万元，上年结转收入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381.11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万元。本年收入中，一般公共预算财政拨款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588.58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万元（本级财力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588.58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万元），政府性基金财政拨款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万元，国有资本经营收益财政拨款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万元。</w:t>
      </w:r>
    </w:p>
    <w:p>
      <w:pPr>
        <w:widowControl/>
        <w:ind w:firstLine="600" w:firstLineChars="200"/>
        <w:jc w:val="left"/>
        <w:rPr>
          <w:rFonts w:ascii="黑体" w:hAnsi="黑体" w:eastAsia="黑体"/>
          <w:kern w:val="0"/>
          <w:sz w:val="30"/>
          <w:szCs w:val="30"/>
        </w:rPr>
      </w:pPr>
      <w:r>
        <w:rPr>
          <w:rFonts w:ascii="黑体" w:hAnsi="黑体" w:eastAsia="黑体"/>
          <w:kern w:val="0"/>
          <w:sz w:val="30"/>
          <w:szCs w:val="30"/>
        </w:rPr>
        <w:t>四、预算单位支出情况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年部门预算总支出 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588.58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万元。本级财力安排支出 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588.58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万元，其中，基本支出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532.58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万元，项目支出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56.00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万元。</w:t>
      </w:r>
    </w:p>
    <w:p>
      <w:pPr>
        <w:widowControl/>
        <w:ind w:firstLine="450" w:firstLineChars="150"/>
        <w:jc w:val="left"/>
        <w:rPr>
          <w:rFonts w:eastAsia="仿宋_GB2312"/>
          <w:kern w:val="0"/>
          <w:sz w:val="30"/>
          <w:szCs w:val="30"/>
        </w:rPr>
      </w:pPr>
      <w:r>
        <w:rPr>
          <w:rFonts w:ascii="楷体_GB2312" w:eastAsia="楷体_GB2312"/>
          <w:kern w:val="0"/>
          <w:sz w:val="30"/>
          <w:szCs w:val="30"/>
        </w:rPr>
        <w:t>（一）本级财力支出按功能科目分类情况</w:t>
      </w:r>
    </w:p>
    <w:p>
      <w:pPr>
        <w:widowControl/>
        <w:numPr>
          <w:ilvl w:val="0"/>
          <w:numId w:val="0"/>
        </w:numPr>
        <w:spacing w:line="420" w:lineRule="atLeast"/>
        <w:ind w:firstLine="300" w:firstLineChars="1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（1）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一般公共服务支出为394.26万元；</w:t>
      </w:r>
    </w:p>
    <w:p>
      <w:pPr>
        <w:widowControl/>
        <w:numPr>
          <w:ilvl w:val="0"/>
          <w:numId w:val="0"/>
        </w:numPr>
        <w:spacing w:line="420" w:lineRule="atLeast"/>
        <w:ind w:firstLine="300" w:firstLineChars="1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（2）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社会保障和就业支出为61.46万元；</w:t>
      </w:r>
    </w:p>
    <w:p>
      <w:pPr>
        <w:widowControl/>
        <w:numPr>
          <w:ilvl w:val="0"/>
          <w:numId w:val="0"/>
        </w:numPr>
        <w:spacing w:line="420" w:lineRule="atLeast"/>
        <w:ind w:firstLine="300" w:firstLineChars="1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、医疗卫生与计划生育支出为38.60万元；</w:t>
      </w:r>
    </w:p>
    <w:p>
      <w:pPr>
        <w:widowControl/>
        <w:numPr>
          <w:ilvl w:val="0"/>
          <w:numId w:val="0"/>
        </w:numPr>
        <w:spacing w:line="420" w:lineRule="atLeast"/>
        <w:ind w:firstLine="300" w:firstLineChars="1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、住房保障支出为94.26万元。</w:t>
      </w:r>
    </w:p>
    <w:p>
      <w:pPr>
        <w:widowControl/>
        <w:ind w:firstLine="450" w:firstLineChars="150"/>
        <w:jc w:val="left"/>
        <w:rPr>
          <w:rFonts w:ascii="楷体_GB2312" w:eastAsia="楷体_GB2312"/>
          <w:kern w:val="0"/>
          <w:sz w:val="30"/>
          <w:szCs w:val="30"/>
        </w:rPr>
      </w:pPr>
      <w:r>
        <w:rPr>
          <w:rFonts w:ascii="楷体_GB2312" w:eastAsia="楷体_GB2312"/>
          <w:kern w:val="0"/>
          <w:sz w:val="30"/>
          <w:szCs w:val="30"/>
        </w:rPr>
        <w:t>（二）本级财力支出按经济科目分类情况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 xml:space="preserve">1、州住房公积金2018年度一般公共预算财政拨款基本支出预算532.58万元，其中： 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 xml:space="preserve">（1）、工资福利支出497.18 万元。主要包括：基本工资79.98万元、津贴补贴197.52万元、奖金6.67万元、绩效工资72.69万元、机关事业单位基本养老保险缴费61.22万元、职工基本医疗保险缴费22.32万元、公务员医疗补助缴费13.54万元、其他社会保障缴费3.57万元、住房公积金38.27万元、医疗费1.4万元。 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（2）、商品与服务支出35.4万元。主要包括：办公费18.20万元、取暖费4.5万元、工会经费6.38万元、福利费0.08万元、公务用车运行维护费6.00万元、其他商品和服务支出0.24万元。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2、州住房公积金2018年度一般公共预算财政拨款项目支出预算56.00万元，其中：商品与服务支出56.00万元。主要包括：办公费6.00万元、劳务费40万元、其他商品和服务支出10.00万元。</w:t>
      </w:r>
    </w:p>
    <w:p>
      <w:pPr>
        <w:widowControl/>
        <w:ind w:firstLine="600" w:firstLineChars="200"/>
        <w:jc w:val="left"/>
        <w:rPr>
          <w:rFonts w:ascii="黑体" w:hAnsi="黑体" w:eastAsia="黑体"/>
          <w:kern w:val="0"/>
          <w:sz w:val="30"/>
          <w:szCs w:val="30"/>
        </w:rPr>
      </w:pPr>
      <w:r>
        <w:rPr>
          <w:rFonts w:ascii="黑体" w:hAnsi="黑体" w:eastAsia="黑体"/>
          <w:kern w:val="0"/>
          <w:sz w:val="30"/>
          <w:szCs w:val="30"/>
        </w:rPr>
        <w:t>五、省对下</w:t>
      </w:r>
      <w:r>
        <w:rPr>
          <w:rFonts w:hint="eastAsia" w:ascii="黑体" w:hAnsi="黑体" w:eastAsia="黑体"/>
          <w:kern w:val="0"/>
          <w:sz w:val="30"/>
          <w:szCs w:val="30"/>
          <w:lang w:eastAsia="zh-CN"/>
        </w:rPr>
        <w:t>专</w:t>
      </w:r>
      <w:r>
        <w:rPr>
          <w:rFonts w:ascii="黑体" w:hAnsi="黑体" w:eastAsia="黑体"/>
          <w:kern w:val="0"/>
          <w:sz w:val="30"/>
          <w:szCs w:val="30"/>
        </w:rPr>
        <w:t>项转移支付情况</w:t>
      </w:r>
    </w:p>
    <w:p>
      <w:pPr>
        <w:widowControl/>
        <w:ind w:firstLine="450" w:firstLineChars="15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我中心无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省对下专项转移支付项目情况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。</w:t>
      </w:r>
      <w:bookmarkStart w:id="0" w:name="_GoBack"/>
      <w:bookmarkEnd w:id="0"/>
    </w:p>
    <w:p>
      <w:pPr>
        <w:widowControl/>
        <w:ind w:firstLine="600" w:firstLineChars="200"/>
        <w:jc w:val="left"/>
        <w:rPr>
          <w:rFonts w:ascii="黑体" w:hAnsi="黑体" w:eastAsia="黑体"/>
          <w:kern w:val="0"/>
          <w:sz w:val="30"/>
          <w:szCs w:val="30"/>
        </w:rPr>
      </w:pPr>
      <w:r>
        <w:rPr>
          <w:rFonts w:ascii="黑体" w:hAnsi="黑体" w:eastAsia="黑体"/>
          <w:kern w:val="0"/>
          <w:sz w:val="30"/>
          <w:szCs w:val="30"/>
        </w:rPr>
        <w:t>六、政府采购预算情况</w:t>
      </w:r>
    </w:p>
    <w:p>
      <w:pPr>
        <w:widowControl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 xml:space="preserve">    根据《中华人民共和国政府采购法》的有关规定，编制了政府采购预算，共涉及采购项目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1</w:t>
      </w:r>
      <w:r>
        <w:rPr>
          <w:rFonts w:eastAsia="仿宋_GB2312"/>
          <w:kern w:val="0"/>
          <w:sz w:val="30"/>
          <w:szCs w:val="30"/>
        </w:rPr>
        <w:t>个，采购预算资金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6.00</w:t>
      </w:r>
      <w:r>
        <w:rPr>
          <w:rFonts w:eastAsia="仿宋_GB2312"/>
          <w:kern w:val="0"/>
          <w:sz w:val="30"/>
          <w:szCs w:val="30"/>
        </w:rPr>
        <w:t>万元。</w:t>
      </w:r>
    </w:p>
    <w:p>
      <w:pPr>
        <w:widowControl/>
        <w:ind w:firstLine="600" w:firstLineChars="200"/>
        <w:jc w:val="left"/>
        <w:rPr>
          <w:rFonts w:ascii="黑体" w:hAnsi="黑体" w:eastAsia="黑体"/>
          <w:kern w:val="0"/>
          <w:sz w:val="30"/>
          <w:szCs w:val="30"/>
        </w:rPr>
      </w:pPr>
      <w:r>
        <w:rPr>
          <w:rFonts w:ascii="黑体" w:hAnsi="黑体" w:eastAsia="黑体"/>
          <w:kern w:val="0"/>
          <w:sz w:val="30"/>
          <w:szCs w:val="30"/>
        </w:rPr>
        <w:t>七、基本支出预算变动的主要原因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>2018年</w:t>
      </w:r>
      <w:r>
        <w:rPr>
          <w:rFonts w:hint="eastAsia" w:eastAsia="仿宋_GB2312"/>
          <w:kern w:val="0"/>
          <w:sz w:val="30"/>
          <w:szCs w:val="30"/>
          <w:lang w:eastAsia="zh-CN"/>
        </w:rPr>
        <w:t>基本支出</w:t>
      </w:r>
      <w:r>
        <w:rPr>
          <w:rFonts w:hint="eastAsia" w:eastAsia="仿宋_GB2312"/>
          <w:kern w:val="0"/>
          <w:sz w:val="30"/>
          <w:szCs w:val="30"/>
        </w:rPr>
        <w:t>预算</w:t>
      </w:r>
      <w:r>
        <w:rPr>
          <w:rFonts w:hint="eastAsia" w:eastAsia="仿宋_GB2312"/>
          <w:kern w:val="0"/>
          <w:sz w:val="30"/>
          <w:szCs w:val="30"/>
          <w:lang w:eastAsia="zh-CN"/>
        </w:rPr>
        <w:t>为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en-US" w:eastAsia="zh-CN"/>
        </w:rPr>
        <w:t>532.58</w:t>
      </w:r>
      <w:r>
        <w:rPr>
          <w:rFonts w:hint="eastAsia" w:eastAsia="仿宋_GB2312"/>
          <w:kern w:val="0"/>
          <w:sz w:val="30"/>
          <w:szCs w:val="30"/>
        </w:rPr>
        <w:t>万元，与上年相比</w:t>
      </w:r>
      <w:r>
        <w:rPr>
          <w:rFonts w:hint="eastAsia" w:eastAsia="仿宋_GB2312"/>
          <w:kern w:val="0"/>
          <w:sz w:val="30"/>
          <w:szCs w:val="30"/>
          <w:lang w:eastAsia="zh-CN"/>
        </w:rPr>
        <w:t>增加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64.68</w:t>
      </w:r>
      <w:r>
        <w:rPr>
          <w:rFonts w:hint="eastAsia" w:eastAsia="仿宋_GB2312"/>
          <w:kern w:val="0"/>
          <w:sz w:val="30"/>
          <w:szCs w:val="30"/>
        </w:rPr>
        <w:t>万元，</w:t>
      </w:r>
      <w:r>
        <w:rPr>
          <w:rFonts w:hint="eastAsia" w:eastAsia="仿宋_GB2312"/>
          <w:kern w:val="0"/>
          <w:sz w:val="30"/>
          <w:szCs w:val="30"/>
          <w:lang w:eastAsia="zh-CN"/>
        </w:rPr>
        <w:t>增加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14</w:t>
      </w:r>
      <w:r>
        <w:rPr>
          <w:rFonts w:hint="eastAsia" w:eastAsia="仿宋_GB2312"/>
          <w:kern w:val="0"/>
          <w:sz w:val="30"/>
          <w:szCs w:val="30"/>
        </w:rPr>
        <w:t>%。主要原因是</w:t>
      </w:r>
      <w:r>
        <w:rPr>
          <w:rFonts w:hint="eastAsia" w:eastAsia="仿宋_GB2312"/>
          <w:kern w:val="0"/>
          <w:sz w:val="30"/>
          <w:szCs w:val="30"/>
          <w:lang w:eastAsia="zh-CN"/>
        </w:rPr>
        <w:t>从</w:t>
      </w:r>
      <w:r>
        <w:rPr>
          <w:rFonts w:hint="eastAsia" w:eastAsia="仿宋_GB2312"/>
          <w:kern w:val="0"/>
          <w:sz w:val="30"/>
          <w:szCs w:val="30"/>
        </w:rPr>
        <w:t>201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7年起全州各级各部门职工工资增加，到2018年时职工各项社会保险和住房公积金也都随之增加，才造成了2018年基本支出预算比2017年多。</w:t>
      </w:r>
    </w:p>
    <w:p>
      <w:pPr>
        <w:widowControl/>
        <w:ind w:firstLine="600" w:firstLineChars="200"/>
        <w:jc w:val="left"/>
        <w:rPr>
          <w:rFonts w:ascii="黑体" w:hAnsi="黑体" w:eastAsia="黑体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 xml:space="preserve"> </w:t>
      </w:r>
      <w:r>
        <w:rPr>
          <w:rFonts w:ascii="黑体" w:hAnsi="黑体" w:eastAsia="黑体"/>
          <w:kern w:val="0"/>
          <w:sz w:val="30"/>
          <w:szCs w:val="30"/>
        </w:rPr>
        <w:t>八、项目支出预算变动的主要原因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2018年部门预算项目支出为56.00万元</w:t>
      </w:r>
      <w:r>
        <w:rPr>
          <w:rFonts w:hint="eastAsia" w:eastAsia="仿宋_GB2312"/>
          <w:kern w:val="0"/>
          <w:sz w:val="30"/>
          <w:szCs w:val="30"/>
          <w:lang w:eastAsia="zh-CN"/>
        </w:rPr>
        <w:t>，</w:t>
      </w:r>
      <w:r>
        <w:rPr>
          <w:rFonts w:hint="eastAsia" w:eastAsia="仿宋_GB2312"/>
          <w:kern w:val="0"/>
          <w:sz w:val="30"/>
          <w:szCs w:val="30"/>
        </w:rPr>
        <w:t>与上年相比</w:t>
      </w:r>
      <w:r>
        <w:rPr>
          <w:rFonts w:hint="eastAsia" w:eastAsia="仿宋_GB2312"/>
          <w:kern w:val="0"/>
          <w:sz w:val="30"/>
          <w:szCs w:val="30"/>
          <w:lang w:eastAsia="zh-CN"/>
        </w:rPr>
        <w:t>减少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184万元，减少77%。</w:t>
      </w:r>
      <w:r>
        <w:rPr>
          <w:rFonts w:hint="eastAsia" w:eastAsia="仿宋_GB2312"/>
          <w:kern w:val="0"/>
          <w:sz w:val="30"/>
          <w:szCs w:val="30"/>
        </w:rPr>
        <w:t>主要原因是</w:t>
      </w:r>
      <w:r>
        <w:rPr>
          <w:rFonts w:hint="eastAsia" w:eastAsia="仿宋_GB2312"/>
          <w:kern w:val="0"/>
          <w:sz w:val="30"/>
          <w:szCs w:val="30"/>
          <w:lang w:eastAsia="zh-CN"/>
        </w:rPr>
        <w:t>住建部和省建设厅要求全省各州市在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2017年需建成住房公积金12329综合服务平台，由于项目重大，需投入大量建设资金。因为到2017年年底已基本建设完成，所以2018年不再有大型项目支出，只需要按实际情况安排项目预算资金。</w:t>
      </w:r>
    </w:p>
    <w:p>
      <w:pPr>
        <w:widowControl/>
        <w:ind w:firstLine="600" w:firstLineChars="200"/>
        <w:jc w:val="left"/>
        <w:rPr>
          <w:rFonts w:ascii="黑体" w:hAnsi="黑体" w:eastAsia="黑体"/>
          <w:kern w:val="0"/>
          <w:sz w:val="30"/>
          <w:szCs w:val="30"/>
        </w:rPr>
      </w:pPr>
      <w:r>
        <w:rPr>
          <w:rFonts w:ascii="黑体" w:hAnsi="黑体" w:eastAsia="黑体"/>
          <w:kern w:val="0"/>
          <w:sz w:val="30"/>
          <w:szCs w:val="30"/>
        </w:rPr>
        <w:t>九、其他公开信息</w:t>
      </w:r>
    </w:p>
    <w:p>
      <w:pPr>
        <w:widowControl/>
        <w:ind w:firstLine="600" w:firstLineChars="200"/>
        <w:jc w:val="left"/>
        <w:rPr>
          <w:rFonts w:ascii="楷体_GB2312" w:eastAsia="楷体_GB2312"/>
          <w:kern w:val="0"/>
          <w:sz w:val="30"/>
          <w:szCs w:val="30"/>
        </w:rPr>
      </w:pPr>
      <w:r>
        <w:rPr>
          <w:rFonts w:ascii="楷体_GB2312" w:eastAsia="楷体_GB2312"/>
          <w:kern w:val="0"/>
          <w:sz w:val="30"/>
          <w:szCs w:val="30"/>
        </w:rPr>
        <w:t>（一）专业名词解释</w:t>
      </w:r>
    </w:p>
    <w:p>
      <w:pPr>
        <w:widowControl/>
        <w:spacing w:line="420" w:lineRule="atLeast"/>
        <w:ind w:firstLine="602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>、财政拨款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 xml:space="preserve">：指由一般公共预算、政府性基金预算安排的财政拨款数。 </w:t>
      </w:r>
    </w:p>
    <w:p>
      <w:pPr>
        <w:widowControl/>
        <w:spacing w:line="420" w:lineRule="atLeast"/>
        <w:ind w:firstLine="602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>、一般公共预算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 xml:space="preserve">：包括公共财政拨款（补助）资金、专项收入。 </w:t>
      </w:r>
    </w:p>
    <w:p>
      <w:pPr>
        <w:widowControl/>
        <w:spacing w:line="420" w:lineRule="atLeast"/>
        <w:ind w:firstLine="602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>、财政专户管理资金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 xml:space="preserve">：包括专户管理行政事业性收费（主要是教育收费）、其他非税收入。 </w:t>
      </w:r>
    </w:p>
    <w:p>
      <w:pPr>
        <w:widowControl/>
        <w:spacing w:line="420" w:lineRule="atLeast"/>
        <w:ind w:firstLine="602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>、其他资金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 xml:space="preserve">：包括事业收入、经营收入、其他收入等。 </w:t>
      </w:r>
    </w:p>
    <w:p>
      <w:pPr>
        <w:widowControl/>
        <w:spacing w:line="420" w:lineRule="atLeast"/>
        <w:ind w:firstLine="602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>、基本支出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 xml:space="preserve">：包括人员经费、商品和服务支出（定额）。其中，人员经费包括工资福利支出、对个人和家庭的补助。 </w:t>
      </w:r>
    </w:p>
    <w:p>
      <w:pPr>
        <w:widowControl/>
        <w:spacing w:line="420" w:lineRule="atLeast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　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>　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>、项目支出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 xml:space="preserve">：包括编入部门预算的单位发展项目、区直发展项目支出安排数等。 </w:t>
      </w:r>
    </w:p>
    <w:p>
      <w:pPr>
        <w:widowControl/>
        <w:spacing w:line="420" w:lineRule="atLeast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　　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>、“三公”经费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 xml:space="preserve">：指区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 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　　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>、机关运行经费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：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widowControl/>
        <w:ind w:firstLine="600" w:firstLineChars="200"/>
        <w:jc w:val="left"/>
        <w:rPr>
          <w:rFonts w:ascii="楷体_GB2312" w:eastAsia="楷体_GB2312"/>
          <w:kern w:val="0"/>
          <w:sz w:val="30"/>
          <w:szCs w:val="30"/>
        </w:rPr>
      </w:pPr>
      <w:r>
        <w:rPr>
          <w:rFonts w:ascii="楷体_GB2312" w:eastAsia="楷体_GB2312"/>
          <w:kern w:val="0"/>
          <w:sz w:val="30"/>
          <w:szCs w:val="30"/>
        </w:rPr>
        <w:t>（二）机关运行经费安排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2018年度州住房公积金一般公共预算拨款安排的“三公”经费预算支出中，因公出国（境）费支出0万元，占“三公”经费的0%；公务用车购置及运行费支出6万元，占“三公”经费的  63.2%；公务接待费支出3.5 万元，占“三公”经费的 36.8 %。具体情况如下： 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1．因公出国（境）费预算支出  0  万元，与上年预算数相比没有变化。 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2．公务用车购置及运行费预算支出6万元，与上年预算数相比没有变化。其中： </w:t>
      </w:r>
    </w:p>
    <w:p>
      <w:pPr>
        <w:widowControl/>
        <w:ind w:firstLine="300" w:firstLineChars="1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（1）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公务用车购置预算支出0万元。 </w:t>
      </w:r>
    </w:p>
    <w:p>
      <w:pPr>
        <w:widowControl/>
        <w:ind w:firstLine="300" w:firstLineChars="1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（2）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公务用车运行维护费预算支出6万元 。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3．公务接待费预算支出3.5万元，与201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7</w:t>
      </w:r>
      <w:r>
        <w:rPr>
          <w:rFonts w:hint="eastAsia" w:eastAsia="仿宋_GB2312"/>
          <w:kern w:val="0"/>
          <w:sz w:val="30"/>
          <w:szCs w:val="30"/>
        </w:rPr>
        <w:t>年对比没有变化，主要原因是严格执行中央八项规定。</w:t>
      </w:r>
    </w:p>
    <w:p>
      <w:pPr>
        <w:widowControl/>
        <w:ind w:firstLine="600" w:firstLineChars="200"/>
        <w:jc w:val="left"/>
        <w:rPr>
          <w:rFonts w:ascii="楷体_GB2312" w:eastAsia="楷体_GB2312"/>
          <w:kern w:val="0"/>
          <w:sz w:val="30"/>
          <w:szCs w:val="30"/>
        </w:rPr>
      </w:pPr>
      <w:r>
        <w:rPr>
          <w:rFonts w:ascii="楷体_GB2312" w:eastAsia="楷体_GB2312"/>
          <w:kern w:val="0"/>
          <w:sz w:val="30"/>
          <w:szCs w:val="30"/>
        </w:rPr>
        <w:t>（三）国有资产占用情况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鉴于截至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年12月31日的国有资产占有使用情况需在完成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年决算编制后才能统计汇总相关数据，因此，将在公开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年度部门决算时一并公开部门截至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年12月31日的国有资产占有使用情况。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</w:p>
    <w:p>
      <w:pPr>
        <w:widowControl/>
        <w:ind w:firstLine="4500" w:firstLineChars="15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迪庆州住房公积金管理中心</w:t>
      </w:r>
    </w:p>
    <w:p>
      <w:pPr>
        <w:widowControl/>
        <w:ind w:firstLine="5400" w:firstLineChars="18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2018年1月29日</w:t>
      </w:r>
    </w:p>
    <w:sectPr>
      <w:headerReference r:id="rId3" w:type="default"/>
      <w:headerReference r:id="rId4" w:type="even"/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AD5"/>
    <w:rsid w:val="0000585F"/>
    <w:rsid w:val="0000790E"/>
    <w:rsid w:val="00010713"/>
    <w:rsid w:val="00011F4A"/>
    <w:rsid w:val="00012FB3"/>
    <w:rsid w:val="00014D4F"/>
    <w:rsid w:val="000152A5"/>
    <w:rsid w:val="000237AB"/>
    <w:rsid w:val="0003248D"/>
    <w:rsid w:val="00034005"/>
    <w:rsid w:val="0005317B"/>
    <w:rsid w:val="000543CA"/>
    <w:rsid w:val="00054EA9"/>
    <w:rsid w:val="000559B2"/>
    <w:rsid w:val="00060B5F"/>
    <w:rsid w:val="00063177"/>
    <w:rsid w:val="00064C37"/>
    <w:rsid w:val="00070204"/>
    <w:rsid w:val="00073344"/>
    <w:rsid w:val="00074721"/>
    <w:rsid w:val="00081157"/>
    <w:rsid w:val="00085843"/>
    <w:rsid w:val="000860FB"/>
    <w:rsid w:val="000952C1"/>
    <w:rsid w:val="00096A53"/>
    <w:rsid w:val="000A07EA"/>
    <w:rsid w:val="000A1122"/>
    <w:rsid w:val="000A74AF"/>
    <w:rsid w:val="000A7B19"/>
    <w:rsid w:val="000B0125"/>
    <w:rsid w:val="000B59B5"/>
    <w:rsid w:val="000B5BAB"/>
    <w:rsid w:val="000B7EA9"/>
    <w:rsid w:val="000C3AE5"/>
    <w:rsid w:val="000C5123"/>
    <w:rsid w:val="000D4394"/>
    <w:rsid w:val="000E530D"/>
    <w:rsid w:val="000F4C86"/>
    <w:rsid w:val="001046C0"/>
    <w:rsid w:val="00104701"/>
    <w:rsid w:val="00114FB7"/>
    <w:rsid w:val="00122B32"/>
    <w:rsid w:val="00123DF3"/>
    <w:rsid w:val="00126D02"/>
    <w:rsid w:val="00126F40"/>
    <w:rsid w:val="00127A6B"/>
    <w:rsid w:val="001341D1"/>
    <w:rsid w:val="0013430D"/>
    <w:rsid w:val="0013484F"/>
    <w:rsid w:val="00134BE4"/>
    <w:rsid w:val="0013549C"/>
    <w:rsid w:val="0014446D"/>
    <w:rsid w:val="001446A5"/>
    <w:rsid w:val="0014486B"/>
    <w:rsid w:val="00144CF1"/>
    <w:rsid w:val="0014558B"/>
    <w:rsid w:val="00146960"/>
    <w:rsid w:val="00155639"/>
    <w:rsid w:val="00155D5E"/>
    <w:rsid w:val="00157BA7"/>
    <w:rsid w:val="001704E4"/>
    <w:rsid w:val="00175223"/>
    <w:rsid w:val="00175B2E"/>
    <w:rsid w:val="00176F17"/>
    <w:rsid w:val="001804E3"/>
    <w:rsid w:val="00180C9A"/>
    <w:rsid w:val="00182D13"/>
    <w:rsid w:val="00183B42"/>
    <w:rsid w:val="00186C54"/>
    <w:rsid w:val="00192C05"/>
    <w:rsid w:val="00197CAA"/>
    <w:rsid w:val="00197E5D"/>
    <w:rsid w:val="001A1B3A"/>
    <w:rsid w:val="001A3CEE"/>
    <w:rsid w:val="001A784A"/>
    <w:rsid w:val="001B045D"/>
    <w:rsid w:val="001C1C89"/>
    <w:rsid w:val="001C55D5"/>
    <w:rsid w:val="001D120C"/>
    <w:rsid w:val="001E03BD"/>
    <w:rsid w:val="001E684A"/>
    <w:rsid w:val="00200BD6"/>
    <w:rsid w:val="00216177"/>
    <w:rsid w:val="002230AE"/>
    <w:rsid w:val="002247D0"/>
    <w:rsid w:val="00224F80"/>
    <w:rsid w:val="0022507C"/>
    <w:rsid w:val="00226979"/>
    <w:rsid w:val="00242E76"/>
    <w:rsid w:val="00243464"/>
    <w:rsid w:val="002462A8"/>
    <w:rsid w:val="00247731"/>
    <w:rsid w:val="00253C74"/>
    <w:rsid w:val="00262BAD"/>
    <w:rsid w:val="002726B1"/>
    <w:rsid w:val="002727D0"/>
    <w:rsid w:val="002749C8"/>
    <w:rsid w:val="00275325"/>
    <w:rsid w:val="00281C06"/>
    <w:rsid w:val="00285DC4"/>
    <w:rsid w:val="00294AE7"/>
    <w:rsid w:val="002A7BAE"/>
    <w:rsid w:val="002B11FA"/>
    <w:rsid w:val="002B2CA6"/>
    <w:rsid w:val="002B37A7"/>
    <w:rsid w:val="002B4342"/>
    <w:rsid w:val="002B56EB"/>
    <w:rsid w:val="002B6D47"/>
    <w:rsid w:val="002C7D21"/>
    <w:rsid w:val="002D27CD"/>
    <w:rsid w:val="002D3EC0"/>
    <w:rsid w:val="002D729F"/>
    <w:rsid w:val="002E0E3C"/>
    <w:rsid w:val="002E2F7F"/>
    <w:rsid w:val="002E4B20"/>
    <w:rsid w:val="002E5FC6"/>
    <w:rsid w:val="002E6D7D"/>
    <w:rsid w:val="002F2C1E"/>
    <w:rsid w:val="002F6E99"/>
    <w:rsid w:val="00300C47"/>
    <w:rsid w:val="003050B6"/>
    <w:rsid w:val="0030726B"/>
    <w:rsid w:val="0031118B"/>
    <w:rsid w:val="0031122F"/>
    <w:rsid w:val="00315EFA"/>
    <w:rsid w:val="00316408"/>
    <w:rsid w:val="003179FB"/>
    <w:rsid w:val="003244C9"/>
    <w:rsid w:val="0032468B"/>
    <w:rsid w:val="00327119"/>
    <w:rsid w:val="003333E4"/>
    <w:rsid w:val="00336580"/>
    <w:rsid w:val="0034184B"/>
    <w:rsid w:val="003535EB"/>
    <w:rsid w:val="00354D29"/>
    <w:rsid w:val="00356356"/>
    <w:rsid w:val="00360593"/>
    <w:rsid w:val="00360EF7"/>
    <w:rsid w:val="00361A07"/>
    <w:rsid w:val="003710A2"/>
    <w:rsid w:val="00376707"/>
    <w:rsid w:val="0037788A"/>
    <w:rsid w:val="0038029B"/>
    <w:rsid w:val="00383096"/>
    <w:rsid w:val="00392AA8"/>
    <w:rsid w:val="003931E6"/>
    <w:rsid w:val="003A324A"/>
    <w:rsid w:val="003A73EF"/>
    <w:rsid w:val="003B2514"/>
    <w:rsid w:val="003B54C2"/>
    <w:rsid w:val="003B5BA8"/>
    <w:rsid w:val="003C1BE1"/>
    <w:rsid w:val="003C6315"/>
    <w:rsid w:val="003D1204"/>
    <w:rsid w:val="003D160D"/>
    <w:rsid w:val="003D35F4"/>
    <w:rsid w:val="003D6601"/>
    <w:rsid w:val="003D6C9A"/>
    <w:rsid w:val="003E2D1F"/>
    <w:rsid w:val="003E2DE1"/>
    <w:rsid w:val="003E5754"/>
    <w:rsid w:val="003F171F"/>
    <w:rsid w:val="003F201E"/>
    <w:rsid w:val="003F3C0C"/>
    <w:rsid w:val="0040002C"/>
    <w:rsid w:val="00400C3B"/>
    <w:rsid w:val="00403507"/>
    <w:rsid w:val="00403546"/>
    <w:rsid w:val="004158B8"/>
    <w:rsid w:val="00416B98"/>
    <w:rsid w:val="00421A99"/>
    <w:rsid w:val="0042780C"/>
    <w:rsid w:val="0043232E"/>
    <w:rsid w:val="00432BAC"/>
    <w:rsid w:val="00445161"/>
    <w:rsid w:val="004457F4"/>
    <w:rsid w:val="004472BF"/>
    <w:rsid w:val="00447C85"/>
    <w:rsid w:val="00455E38"/>
    <w:rsid w:val="00456CDD"/>
    <w:rsid w:val="004605B3"/>
    <w:rsid w:val="00467CD2"/>
    <w:rsid w:val="004718A9"/>
    <w:rsid w:val="00476EC1"/>
    <w:rsid w:val="00480582"/>
    <w:rsid w:val="0048694C"/>
    <w:rsid w:val="004911B1"/>
    <w:rsid w:val="00495E43"/>
    <w:rsid w:val="004A362F"/>
    <w:rsid w:val="004A742B"/>
    <w:rsid w:val="004B29ED"/>
    <w:rsid w:val="004C064B"/>
    <w:rsid w:val="004D26D3"/>
    <w:rsid w:val="004D3A59"/>
    <w:rsid w:val="004F2C44"/>
    <w:rsid w:val="004F4F9F"/>
    <w:rsid w:val="004F5C1B"/>
    <w:rsid w:val="005054B5"/>
    <w:rsid w:val="00505533"/>
    <w:rsid w:val="00506344"/>
    <w:rsid w:val="005148D7"/>
    <w:rsid w:val="00521069"/>
    <w:rsid w:val="005248EA"/>
    <w:rsid w:val="0052572D"/>
    <w:rsid w:val="005431C8"/>
    <w:rsid w:val="005463F4"/>
    <w:rsid w:val="00552BA8"/>
    <w:rsid w:val="0055409A"/>
    <w:rsid w:val="00563EEF"/>
    <w:rsid w:val="00572E90"/>
    <w:rsid w:val="00575EDA"/>
    <w:rsid w:val="00591B91"/>
    <w:rsid w:val="005952DC"/>
    <w:rsid w:val="005A00B7"/>
    <w:rsid w:val="005A1F0D"/>
    <w:rsid w:val="005A51EE"/>
    <w:rsid w:val="005B0445"/>
    <w:rsid w:val="005B0A4A"/>
    <w:rsid w:val="005B679B"/>
    <w:rsid w:val="005B77D3"/>
    <w:rsid w:val="005C470B"/>
    <w:rsid w:val="005C66D3"/>
    <w:rsid w:val="005D245F"/>
    <w:rsid w:val="005D3061"/>
    <w:rsid w:val="005D6260"/>
    <w:rsid w:val="005D6D58"/>
    <w:rsid w:val="005E6A58"/>
    <w:rsid w:val="005F310F"/>
    <w:rsid w:val="00602B8A"/>
    <w:rsid w:val="0060314C"/>
    <w:rsid w:val="00614B12"/>
    <w:rsid w:val="006150EC"/>
    <w:rsid w:val="006164DB"/>
    <w:rsid w:val="0061679D"/>
    <w:rsid w:val="006253D8"/>
    <w:rsid w:val="00626153"/>
    <w:rsid w:val="006374A1"/>
    <w:rsid w:val="006540CB"/>
    <w:rsid w:val="00660B2A"/>
    <w:rsid w:val="00682553"/>
    <w:rsid w:val="0068515C"/>
    <w:rsid w:val="0068667C"/>
    <w:rsid w:val="006A26A0"/>
    <w:rsid w:val="006A4FDA"/>
    <w:rsid w:val="006B1C07"/>
    <w:rsid w:val="006B3DA5"/>
    <w:rsid w:val="006B5B25"/>
    <w:rsid w:val="006B7827"/>
    <w:rsid w:val="006D0172"/>
    <w:rsid w:val="006E1A3A"/>
    <w:rsid w:val="006E2230"/>
    <w:rsid w:val="006E2B9C"/>
    <w:rsid w:val="006E7E4C"/>
    <w:rsid w:val="006F1C64"/>
    <w:rsid w:val="006F3C19"/>
    <w:rsid w:val="00700438"/>
    <w:rsid w:val="007013C6"/>
    <w:rsid w:val="00715660"/>
    <w:rsid w:val="007328B9"/>
    <w:rsid w:val="007336B0"/>
    <w:rsid w:val="0073563C"/>
    <w:rsid w:val="00735ADA"/>
    <w:rsid w:val="00735D71"/>
    <w:rsid w:val="00736386"/>
    <w:rsid w:val="0074138A"/>
    <w:rsid w:val="00750940"/>
    <w:rsid w:val="00751AB4"/>
    <w:rsid w:val="0076269B"/>
    <w:rsid w:val="00765E00"/>
    <w:rsid w:val="00766131"/>
    <w:rsid w:val="0077005A"/>
    <w:rsid w:val="00772DB4"/>
    <w:rsid w:val="00780AAD"/>
    <w:rsid w:val="0078371A"/>
    <w:rsid w:val="00783A4C"/>
    <w:rsid w:val="00794375"/>
    <w:rsid w:val="007A05BD"/>
    <w:rsid w:val="007A725D"/>
    <w:rsid w:val="007B4A0F"/>
    <w:rsid w:val="007C05CB"/>
    <w:rsid w:val="007C3153"/>
    <w:rsid w:val="007C7656"/>
    <w:rsid w:val="007D066F"/>
    <w:rsid w:val="007D1AE5"/>
    <w:rsid w:val="007D5A91"/>
    <w:rsid w:val="007E3441"/>
    <w:rsid w:val="007E460F"/>
    <w:rsid w:val="007E68C9"/>
    <w:rsid w:val="007E76F1"/>
    <w:rsid w:val="007F1DA0"/>
    <w:rsid w:val="00803F6B"/>
    <w:rsid w:val="00805901"/>
    <w:rsid w:val="00811B53"/>
    <w:rsid w:val="00816BAB"/>
    <w:rsid w:val="00817514"/>
    <w:rsid w:val="00825E03"/>
    <w:rsid w:val="00827ECC"/>
    <w:rsid w:val="0083106D"/>
    <w:rsid w:val="0083313F"/>
    <w:rsid w:val="00834D98"/>
    <w:rsid w:val="00835730"/>
    <w:rsid w:val="0084210A"/>
    <w:rsid w:val="00845657"/>
    <w:rsid w:val="0084624C"/>
    <w:rsid w:val="00851C1D"/>
    <w:rsid w:val="00864E02"/>
    <w:rsid w:val="00874702"/>
    <w:rsid w:val="008775B4"/>
    <w:rsid w:val="008808A6"/>
    <w:rsid w:val="00885B69"/>
    <w:rsid w:val="008A159E"/>
    <w:rsid w:val="008A38E5"/>
    <w:rsid w:val="008A3F94"/>
    <w:rsid w:val="008A4B32"/>
    <w:rsid w:val="008A6037"/>
    <w:rsid w:val="008B2777"/>
    <w:rsid w:val="008B3519"/>
    <w:rsid w:val="008B4667"/>
    <w:rsid w:val="008B7085"/>
    <w:rsid w:val="008C0CBC"/>
    <w:rsid w:val="008C1602"/>
    <w:rsid w:val="008D1AD8"/>
    <w:rsid w:val="008D2E7D"/>
    <w:rsid w:val="008D5FED"/>
    <w:rsid w:val="008E0B11"/>
    <w:rsid w:val="008E2734"/>
    <w:rsid w:val="008F35F1"/>
    <w:rsid w:val="008F3FB1"/>
    <w:rsid w:val="009008F4"/>
    <w:rsid w:val="00901A1A"/>
    <w:rsid w:val="009020BF"/>
    <w:rsid w:val="00905BB4"/>
    <w:rsid w:val="00907813"/>
    <w:rsid w:val="00911B9D"/>
    <w:rsid w:val="009142F4"/>
    <w:rsid w:val="00921C07"/>
    <w:rsid w:val="00930A10"/>
    <w:rsid w:val="0093199F"/>
    <w:rsid w:val="00932958"/>
    <w:rsid w:val="00947CC7"/>
    <w:rsid w:val="00951519"/>
    <w:rsid w:val="009535AF"/>
    <w:rsid w:val="0096301A"/>
    <w:rsid w:val="00964D6C"/>
    <w:rsid w:val="00965133"/>
    <w:rsid w:val="00965E0F"/>
    <w:rsid w:val="00971AD3"/>
    <w:rsid w:val="00981123"/>
    <w:rsid w:val="00982629"/>
    <w:rsid w:val="0098468C"/>
    <w:rsid w:val="0098667C"/>
    <w:rsid w:val="009907B9"/>
    <w:rsid w:val="00992351"/>
    <w:rsid w:val="009A08B6"/>
    <w:rsid w:val="009A2377"/>
    <w:rsid w:val="009A4D11"/>
    <w:rsid w:val="009B3ED3"/>
    <w:rsid w:val="009B4ADC"/>
    <w:rsid w:val="009C1730"/>
    <w:rsid w:val="009D6232"/>
    <w:rsid w:val="009E15D4"/>
    <w:rsid w:val="009F25BD"/>
    <w:rsid w:val="009F3C7E"/>
    <w:rsid w:val="009F5646"/>
    <w:rsid w:val="009F7873"/>
    <w:rsid w:val="009F7979"/>
    <w:rsid w:val="009F7AE7"/>
    <w:rsid w:val="00A03FA7"/>
    <w:rsid w:val="00A06395"/>
    <w:rsid w:val="00A06AEF"/>
    <w:rsid w:val="00A10700"/>
    <w:rsid w:val="00A14D49"/>
    <w:rsid w:val="00A15184"/>
    <w:rsid w:val="00A1637D"/>
    <w:rsid w:val="00A2566B"/>
    <w:rsid w:val="00A32086"/>
    <w:rsid w:val="00A34E84"/>
    <w:rsid w:val="00A352B0"/>
    <w:rsid w:val="00A37886"/>
    <w:rsid w:val="00A472C6"/>
    <w:rsid w:val="00A51E78"/>
    <w:rsid w:val="00A570A1"/>
    <w:rsid w:val="00A60974"/>
    <w:rsid w:val="00A61DCD"/>
    <w:rsid w:val="00A65535"/>
    <w:rsid w:val="00A724CF"/>
    <w:rsid w:val="00A7532F"/>
    <w:rsid w:val="00A761CF"/>
    <w:rsid w:val="00A81682"/>
    <w:rsid w:val="00A84D92"/>
    <w:rsid w:val="00A84E65"/>
    <w:rsid w:val="00AA7480"/>
    <w:rsid w:val="00AB1481"/>
    <w:rsid w:val="00AB2ABB"/>
    <w:rsid w:val="00AB5C67"/>
    <w:rsid w:val="00AB7C98"/>
    <w:rsid w:val="00AC47D9"/>
    <w:rsid w:val="00AD0DA1"/>
    <w:rsid w:val="00AE0209"/>
    <w:rsid w:val="00AE2095"/>
    <w:rsid w:val="00AE5322"/>
    <w:rsid w:val="00AE5FEF"/>
    <w:rsid w:val="00AE73E2"/>
    <w:rsid w:val="00AF1CF9"/>
    <w:rsid w:val="00AF2AE3"/>
    <w:rsid w:val="00AF7C58"/>
    <w:rsid w:val="00B05787"/>
    <w:rsid w:val="00B15323"/>
    <w:rsid w:val="00B259AC"/>
    <w:rsid w:val="00B268D9"/>
    <w:rsid w:val="00B26EC9"/>
    <w:rsid w:val="00B31B8F"/>
    <w:rsid w:val="00B333B0"/>
    <w:rsid w:val="00B440DB"/>
    <w:rsid w:val="00B4415D"/>
    <w:rsid w:val="00B45103"/>
    <w:rsid w:val="00B45D24"/>
    <w:rsid w:val="00B52992"/>
    <w:rsid w:val="00B538C6"/>
    <w:rsid w:val="00B62018"/>
    <w:rsid w:val="00B63114"/>
    <w:rsid w:val="00B64A22"/>
    <w:rsid w:val="00B67D14"/>
    <w:rsid w:val="00B700C3"/>
    <w:rsid w:val="00B8042D"/>
    <w:rsid w:val="00B810FF"/>
    <w:rsid w:val="00B8418B"/>
    <w:rsid w:val="00B84519"/>
    <w:rsid w:val="00B87463"/>
    <w:rsid w:val="00B91E5C"/>
    <w:rsid w:val="00BA00E2"/>
    <w:rsid w:val="00BA4255"/>
    <w:rsid w:val="00BA4F5A"/>
    <w:rsid w:val="00BA7BBA"/>
    <w:rsid w:val="00BB3DE5"/>
    <w:rsid w:val="00BB4394"/>
    <w:rsid w:val="00BB5ABD"/>
    <w:rsid w:val="00BC1BA9"/>
    <w:rsid w:val="00BC41E1"/>
    <w:rsid w:val="00BD2FC7"/>
    <w:rsid w:val="00BD6EC1"/>
    <w:rsid w:val="00BE25AF"/>
    <w:rsid w:val="00BE3F11"/>
    <w:rsid w:val="00C01D14"/>
    <w:rsid w:val="00C04DD5"/>
    <w:rsid w:val="00C073D6"/>
    <w:rsid w:val="00C12785"/>
    <w:rsid w:val="00C14D2D"/>
    <w:rsid w:val="00C15327"/>
    <w:rsid w:val="00C205DD"/>
    <w:rsid w:val="00C242B2"/>
    <w:rsid w:val="00C25F74"/>
    <w:rsid w:val="00C35546"/>
    <w:rsid w:val="00C4092D"/>
    <w:rsid w:val="00C4278B"/>
    <w:rsid w:val="00C43BD2"/>
    <w:rsid w:val="00C44F90"/>
    <w:rsid w:val="00C47E9C"/>
    <w:rsid w:val="00C52FD7"/>
    <w:rsid w:val="00C57277"/>
    <w:rsid w:val="00C616E4"/>
    <w:rsid w:val="00C648E2"/>
    <w:rsid w:val="00C6603B"/>
    <w:rsid w:val="00C75A4D"/>
    <w:rsid w:val="00C75CE4"/>
    <w:rsid w:val="00C8367C"/>
    <w:rsid w:val="00C90645"/>
    <w:rsid w:val="00C92A41"/>
    <w:rsid w:val="00C95E0F"/>
    <w:rsid w:val="00CA3BAD"/>
    <w:rsid w:val="00CB1858"/>
    <w:rsid w:val="00CC0087"/>
    <w:rsid w:val="00CD0085"/>
    <w:rsid w:val="00CE1BDC"/>
    <w:rsid w:val="00CF3E52"/>
    <w:rsid w:val="00D00043"/>
    <w:rsid w:val="00D003BE"/>
    <w:rsid w:val="00D03468"/>
    <w:rsid w:val="00D03E18"/>
    <w:rsid w:val="00D06094"/>
    <w:rsid w:val="00D110CC"/>
    <w:rsid w:val="00D1310A"/>
    <w:rsid w:val="00D165B0"/>
    <w:rsid w:val="00D249EC"/>
    <w:rsid w:val="00D30CFE"/>
    <w:rsid w:val="00D314BC"/>
    <w:rsid w:val="00D319FC"/>
    <w:rsid w:val="00D37964"/>
    <w:rsid w:val="00D40468"/>
    <w:rsid w:val="00D41BD8"/>
    <w:rsid w:val="00D45FD5"/>
    <w:rsid w:val="00D501E4"/>
    <w:rsid w:val="00D51F3A"/>
    <w:rsid w:val="00D62340"/>
    <w:rsid w:val="00D63F18"/>
    <w:rsid w:val="00D6527D"/>
    <w:rsid w:val="00D6795D"/>
    <w:rsid w:val="00D729EC"/>
    <w:rsid w:val="00D74B92"/>
    <w:rsid w:val="00D841C1"/>
    <w:rsid w:val="00D93010"/>
    <w:rsid w:val="00D946E9"/>
    <w:rsid w:val="00D9604F"/>
    <w:rsid w:val="00D9737C"/>
    <w:rsid w:val="00DB3D0C"/>
    <w:rsid w:val="00DB4D49"/>
    <w:rsid w:val="00DB767D"/>
    <w:rsid w:val="00DC07E5"/>
    <w:rsid w:val="00DC395D"/>
    <w:rsid w:val="00DC634D"/>
    <w:rsid w:val="00DD0FFA"/>
    <w:rsid w:val="00DD202C"/>
    <w:rsid w:val="00DD3863"/>
    <w:rsid w:val="00DE5376"/>
    <w:rsid w:val="00DE60D1"/>
    <w:rsid w:val="00DF050A"/>
    <w:rsid w:val="00DF59BD"/>
    <w:rsid w:val="00DF6FC3"/>
    <w:rsid w:val="00DF751A"/>
    <w:rsid w:val="00DF7A31"/>
    <w:rsid w:val="00E05A1C"/>
    <w:rsid w:val="00E07333"/>
    <w:rsid w:val="00E129EE"/>
    <w:rsid w:val="00E12BAD"/>
    <w:rsid w:val="00E13411"/>
    <w:rsid w:val="00E14AC6"/>
    <w:rsid w:val="00E30F62"/>
    <w:rsid w:val="00E36ECE"/>
    <w:rsid w:val="00E46B69"/>
    <w:rsid w:val="00E573AC"/>
    <w:rsid w:val="00E57B94"/>
    <w:rsid w:val="00E62839"/>
    <w:rsid w:val="00E62E85"/>
    <w:rsid w:val="00E64EE1"/>
    <w:rsid w:val="00E65C1E"/>
    <w:rsid w:val="00E75F13"/>
    <w:rsid w:val="00E76022"/>
    <w:rsid w:val="00E83456"/>
    <w:rsid w:val="00EA25E4"/>
    <w:rsid w:val="00EA3E87"/>
    <w:rsid w:val="00EA7A22"/>
    <w:rsid w:val="00EA7DE2"/>
    <w:rsid w:val="00EB004F"/>
    <w:rsid w:val="00EB6AC3"/>
    <w:rsid w:val="00EC6D59"/>
    <w:rsid w:val="00EC703C"/>
    <w:rsid w:val="00ED0777"/>
    <w:rsid w:val="00ED2DE0"/>
    <w:rsid w:val="00ED6645"/>
    <w:rsid w:val="00ED6F4E"/>
    <w:rsid w:val="00EE37EE"/>
    <w:rsid w:val="00EE6EB1"/>
    <w:rsid w:val="00EF43D5"/>
    <w:rsid w:val="00EF4E23"/>
    <w:rsid w:val="00EF691D"/>
    <w:rsid w:val="00F0000C"/>
    <w:rsid w:val="00F002E5"/>
    <w:rsid w:val="00F03838"/>
    <w:rsid w:val="00F03945"/>
    <w:rsid w:val="00F04C86"/>
    <w:rsid w:val="00F0598E"/>
    <w:rsid w:val="00F11D4E"/>
    <w:rsid w:val="00F12CC8"/>
    <w:rsid w:val="00F20765"/>
    <w:rsid w:val="00F20D44"/>
    <w:rsid w:val="00F238CE"/>
    <w:rsid w:val="00F24EE1"/>
    <w:rsid w:val="00F36445"/>
    <w:rsid w:val="00F412D7"/>
    <w:rsid w:val="00F43996"/>
    <w:rsid w:val="00F45AD5"/>
    <w:rsid w:val="00F45F72"/>
    <w:rsid w:val="00F47184"/>
    <w:rsid w:val="00F51398"/>
    <w:rsid w:val="00F521B6"/>
    <w:rsid w:val="00F53C1F"/>
    <w:rsid w:val="00F53D7D"/>
    <w:rsid w:val="00F54201"/>
    <w:rsid w:val="00F5464F"/>
    <w:rsid w:val="00F6446E"/>
    <w:rsid w:val="00F657F3"/>
    <w:rsid w:val="00F80BF6"/>
    <w:rsid w:val="00F81802"/>
    <w:rsid w:val="00F82819"/>
    <w:rsid w:val="00F8452D"/>
    <w:rsid w:val="00F95BCB"/>
    <w:rsid w:val="00F96634"/>
    <w:rsid w:val="00F96A5C"/>
    <w:rsid w:val="00FA1FBC"/>
    <w:rsid w:val="00FA2C97"/>
    <w:rsid w:val="00FA2FC5"/>
    <w:rsid w:val="00FB35BE"/>
    <w:rsid w:val="00FC43B8"/>
    <w:rsid w:val="00FC4E58"/>
    <w:rsid w:val="00FC7004"/>
    <w:rsid w:val="00FD06A0"/>
    <w:rsid w:val="00FD13FB"/>
    <w:rsid w:val="00FD228E"/>
    <w:rsid w:val="00FD4E9B"/>
    <w:rsid w:val="00FE1A2F"/>
    <w:rsid w:val="00FE5F50"/>
    <w:rsid w:val="00FF1B25"/>
    <w:rsid w:val="00FF7A85"/>
    <w:rsid w:val="05CE1C24"/>
    <w:rsid w:val="0C0270A9"/>
    <w:rsid w:val="1B6C1BE4"/>
    <w:rsid w:val="1CBD1904"/>
    <w:rsid w:val="21484750"/>
    <w:rsid w:val="224B7257"/>
    <w:rsid w:val="228C3E5B"/>
    <w:rsid w:val="337D310D"/>
    <w:rsid w:val="4A075399"/>
    <w:rsid w:val="553B426A"/>
    <w:rsid w:val="59435874"/>
    <w:rsid w:val="5F04196E"/>
    <w:rsid w:val="604E5C8E"/>
    <w:rsid w:val="60591865"/>
    <w:rsid w:val="641870DD"/>
    <w:rsid w:val="655027CD"/>
    <w:rsid w:val="65FD2017"/>
    <w:rsid w:val="70A8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semiHidden/>
    <w:qFormat/>
    <w:uiPriority w:val="0"/>
    <w:rPr>
      <w:b/>
      <w:bCs/>
    </w:rPr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semiHidden/>
    <w:qFormat/>
    <w:uiPriority w:val="0"/>
    <w:rPr>
      <w:sz w:val="21"/>
      <w:szCs w:val="21"/>
    </w:rPr>
  </w:style>
  <w:style w:type="paragraph" w:customStyle="1" w:styleId="10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zhlx</Company>
  <Pages>3</Pages>
  <Words>175</Words>
  <Characters>1000</Characters>
  <Lines>8</Lines>
  <Paragraphs>2</Paragraphs>
  <ScaleCrop>false</ScaleCrop>
  <LinksUpToDate>false</LinksUpToDate>
  <CharactersWithSpaces>1173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2012-01-07T11:13:00Z</dcterms:created>
  <dc:creator>lx</dc:creator>
  <dc:description>ZHGenApp().GetProperty("Certification")</dc:description>
  <cp:lastModifiedBy>暴女淑古拉</cp:lastModifiedBy>
  <cp:lastPrinted>2018-01-10T01:08:00Z</cp:lastPrinted>
  <dcterms:modified xsi:type="dcterms:W3CDTF">2018-01-31T09:01:07Z</dcterms:modified>
  <dc:title>年部门预算编制说明</dc:title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