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pacing w:val="20"/>
          <w:w w:val="86"/>
          <w:sz w:val="72"/>
          <w:szCs w:val="88"/>
        </w:rPr>
      </w:pPr>
      <w:r>
        <w:rPr>
          <w:rFonts w:hint="eastAsia" w:ascii="方正小标宋简体" w:eastAsia="方正小标宋简体"/>
          <w:color w:val="FF0000"/>
          <w:spacing w:val="20"/>
          <w:w w:val="86"/>
          <w:sz w:val="72"/>
          <w:szCs w:val="88"/>
        </w:rPr>
        <w:t>迪庆藏族自治州广播电视局</w:t>
      </w:r>
    </w:p>
    <w:p>
      <w:pPr>
        <w:jc w:val="center"/>
        <w:rPr>
          <w:rFonts w:hint="eastAsia" w:ascii="方正仿宋简体" w:hAnsi="Times New Roman" w:eastAsia="方正仿宋简体" w:cs="方正小标宋_GBK"/>
          <w:color w:val="FF0000"/>
          <w:sz w:val="32"/>
          <w:szCs w:val="32"/>
        </w:rPr>
      </w:pPr>
      <w:r>
        <w:rPr>
          <w:rFonts w:hint="eastAsia" w:ascii="方正小标宋简体" w:eastAsia="方正小标宋简体"/>
          <w:color w:val="FF0000"/>
          <w:spacing w:val="20"/>
          <w:w w:val="86"/>
          <w:sz w:val="72"/>
          <w:szCs w:val="88"/>
        </w:rPr>
        <w:t>简  报</w:t>
      </w:r>
    </w:p>
    <w:p>
      <w:pPr>
        <w:spacing w:line="420" w:lineRule="exact"/>
        <w:rPr>
          <w:rFonts w:hint="eastAsia" w:ascii="方正仿宋简体" w:hAnsi="Times New Roman" w:eastAsia="方正仿宋简体" w:cs="方正小标宋_GBK"/>
          <w:color w:val="FF0000"/>
          <w:sz w:val="32"/>
          <w:szCs w:val="32"/>
        </w:rPr>
      </w:pPr>
    </w:p>
    <w:p>
      <w:pPr>
        <w:rPr>
          <w:rFonts w:hint="eastAsia" w:ascii="仿宋" w:hAnsi="仿宋" w:eastAsia="仿宋"/>
          <w:color w:val="FF0000"/>
          <w:sz w:val="28"/>
          <w:szCs w:val="32"/>
        </w:rPr>
      </w:pPr>
      <w:r>
        <w:rPr>
          <w:rFonts w:hint="eastAsia" w:ascii="仿宋" w:hAnsi="仿宋" w:eastAsia="仿宋" w:cs="黑体"/>
          <w:kern w:val="0"/>
          <w:sz w:val="32"/>
          <w:szCs w:val="32"/>
        </w:rPr>
        <w:t xml:space="preserve">迪庆藏族自治州广播电视局             </w:t>
      </w:r>
      <w:r>
        <w:rPr>
          <w:rFonts w:ascii="仿宋" w:hAnsi="仿宋" w:eastAsia="仿宋"/>
          <w:kern w:val="0"/>
          <w:sz w:val="32"/>
          <w:szCs w:val="32"/>
        </w:rPr>
        <w:t>20</w:t>
      </w:r>
      <w:r>
        <w:rPr>
          <w:rFonts w:hint="eastAsia" w:ascii="仿宋" w:hAnsi="仿宋" w:eastAsia="仿宋"/>
          <w:kern w:val="0"/>
          <w:sz w:val="32"/>
          <w:szCs w:val="32"/>
          <w:lang w:val="en-US" w:eastAsia="zh-CN"/>
        </w:rPr>
        <w:t>20</w:t>
      </w:r>
      <w:r>
        <w:rPr>
          <w:rFonts w:ascii="仿宋" w:hAnsi="仿宋" w:eastAsia="仿宋"/>
          <w:kern w:val="0"/>
          <w:sz w:val="32"/>
          <w:szCs w:val="32"/>
        </w:rPr>
        <w:t>年</w:t>
      </w:r>
      <w:r>
        <w:rPr>
          <w:rFonts w:hint="eastAsia" w:ascii="仿宋" w:hAnsi="仿宋" w:eastAsia="仿宋"/>
          <w:kern w:val="0"/>
          <w:sz w:val="32"/>
          <w:szCs w:val="32"/>
          <w:lang w:val="en-US" w:eastAsia="zh-CN"/>
        </w:rPr>
        <w:t>9</w:t>
      </w:r>
      <w:r>
        <w:rPr>
          <w:rFonts w:ascii="仿宋" w:hAnsi="仿宋" w:eastAsia="仿宋"/>
          <w:kern w:val="0"/>
          <w:sz w:val="32"/>
          <w:szCs w:val="32"/>
        </w:rPr>
        <w:t>月</w:t>
      </w:r>
      <w:r>
        <w:rPr>
          <w:rFonts w:hint="eastAsia" w:ascii="仿宋" w:hAnsi="仿宋" w:eastAsia="仿宋"/>
          <w:kern w:val="0"/>
          <w:sz w:val="32"/>
          <w:szCs w:val="32"/>
          <w:lang w:val="en-US" w:eastAsia="zh-CN"/>
        </w:rPr>
        <w:t>29</w:t>
      </w:r>
      <w:bookmarkStart w:id="0" w:name="_GoBack"/>
      <w:bookmarkEnd w:id="0"/>
      <w:r>
        <w:rPr>
          <w:rFonts w:ascii="仿宋" w:hAnsi="仿宋" w:eastAsia="仿宋"/>
          <w:kern w:val="0"/>
          <w:sz w:val="32"/>
          <w:szCs w:val="32"/>
        </w:rPr>
        <w:t>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860" w:lineRule="exact"/>
        <w:jc w:val="center"/>
        <w:textAlignment w:val="auto"/>
        <w:outlineLvl w:val="1"/>
        <w:rPr>
          <w:rFonts w:ascii="方正小标宋简体" w:hAnsi="方正小标宋简体" w:eastAsia="方正小标宋简体" w:cs="方正小标宋简体"/>
          <w:b w:val="0"/>
          <w:bCs/>
          <w:color w:val="333333"/>
          <w:spacing w:val="8"/>
          <w:sz w:val="44"/>
          <w:szCs w:val="44"/>
          <w:shd w:val="clear" w:color="auto" w:fill="FFFFFF"/>
        </w:rPr>
      </w:pPr>
      <w:r>
        <w:rPr>
          <w:shd w:val="clear" w:color="auto" w:fill="FFFFF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29845</wp:posOffset>
                </wp:positionV>
                <wp:extent cx="5588000" cy="0"/>
                <wp:effectExtent l="0" t="28575" r="12700" b="28575"/>
                <wp:wrapNone/>
                <wp:docPr id="1" name="直接连接符 1"/>
                <wp:cNvGraphicFramePr/>
                <a:graphic xmlns:a="http://schemas.openxmlformats.org/drawingml/2006/main">
                  <a:graphicData uri="http://schemas.microsoft.com/office/word/2010/wordprocessingShape">
                    <wps:wsp>
                      <wps:cNvCnPr/>
                      <wps:spPr>
                        <a:xfrm>
                          <a:off x="0" y="0"/>
                          <a:ext cx="55880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2.35pt;height:0pt;width:440pt;z-index:251661312;mso-width-relative:page;mso-height-relative:page;" filled="f" stroked="t" coordsize="21600,21600" o:gfxdata="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YngI1AAAAAcBAAAPAAAAAAAAAAEAIAAAACIAAABkcnMvZG93bnJldi54bWxQSwEC&#10;FAAUAAAACACHTuJAjGj0HfgBAADrAwAADgAAAAAAAAABACAAAAAjAQAAZHJzL2Uyb0RvYy54bWxQ&#10;SwUGAAAAAAYABgBZAQAAjQUAAAAA&#10;">
                <v:fill on="f" focussize="0,0"/>
                <v:stroke weight="4.5pt" color="#FF0000" linestyle="thinThick" joinstyle="round"/>
                <v:imagedata o:title=""/>
                <o:lock v:ext="edit" aspectratio="f"/>
              </v:line>
            </w:pict>
          </mc:Fallback>
        </mc:AlternateContent>
      </w:r>
    </w:p>
    <w:p>
      <w:pPr>
        <w:jc w:val="center"/>
        <w:rPr>
          <w:rFonts w:hint="eastAsia" w:asciiTheme="majorEastAsia" w:hAnsiTheme="majorEastAsia" w:eastAsiaTheme="majorEastAsia" w:cstheme="majorEastAsia"/>
          <w:b/>
          <w:bCs/>
          <w:sz w:val="44"/>
          <w:szCs w:val="44"/>
          <w:lang w:val="en-US" w:eastAsia="zh-CN"/>
        </w:rPr>
      </w:pPr>
      <w:r>
        <w:rPr>
          <w:rFonts w:hint="eastAsia" w:ascii="宋体" w:hAnsi="宋体"/>
          <w:b/>
          <w:bCs/>
          <w:sz w:val="36"/>
          <w:szCs w:val="36"/>
        </w:rPr>
        <w:t xml:space="preserve"> </w:t>
      </w:r>
      <w:r>
        <w:rPr>
          <w:rFonts w:hint="eastAsia" w:asciiTheme="majorEastAsia" w:hAnsiTheme="majorEastAsia" w:eastAsiaTheme="majorEastAsia" w:cstheme="majorEastAsia"/>
          <w:b/>
          <w:bCs/>
          <w:sz w:val="44"/>
          <w:szCs w:val="44"/>
          <w:lang w:val="en-US" w:eastAsia="zh-CN"/>
        </w:rPr>
        <w:t>八届州委第三巡察组进驻迪庆州广播电视局召开巡察工作动员会</w:t>
      </w: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9月29日上午，州委第三巡察组在我局召开巡察动员会，州委巡察办第三巡察组组长和德华、副组长和铨、巡察工作领导小组成员、州广播电视局班子成员、中层领导干部及全体职工共14人参加动员会。会议由州广播电视局党组书记局长杨永鹤主持。</w:t>
      </w: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drawing>
          <wp:inline distT="0" distB="0" distL="114300" distR="114300">
            <wp:extent cx="5165090" cy="2844800"/>
            <wp:effectExtent l="0" t="0" r="16510" b="12700"/>
            <wp:docPr id="3" name="图片 3" descr="8ad2823f121de9289811cd99094a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d2823f121de9289811cd99094a1ce"/>
                    <pic:cNvPicPr>
                      <a:picLocks noChangeAspect="1"/>
                    </pic:cNvPicPr>
                  </pic:nvPicPr>
                  <pic:blipFill>
                    <a:blip r:embed="rId5"/>
                    <a:stretch>
                      <a:fillRect/>
                    </a:stretch>
                  </pic:blipFill>
                  <pic:spPr>
                    <a:xfrm>
                      <a:off x="0" y="0"/>
                      <a:ext cx="5165090" cy="2844800"/>
                    </a:xfrm>
                    <a:prstGeom prst="rect">
                      <a:avLst/>
                    </a:prstGeom>
                  </pic:spPr>
                </pic:pic>
              </a:graphicData>
            </a:graphic>
          </wp:inline>
        </w:drawing>
      </w: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会上，八届州委第十三轮巡察组第三巡察组组长和德华同志站在从严治党的高度就开展巡察工作作了动员讲话，并提出了三点工作要求。一要提高政治站位，深刻认识巡察整改“回头看”的重大意义；二要坚定不移落实巡察整改情况“回头看”重点任务；三要强化政治担当，共同完成本次巡察工作任务。</w:t>
      </w: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drawing>
          <wp:inline distT="0" distB="0" distL="114300" distR="114300">
            <wp:extent cx="5429885" cy="3663950"/>
            <wp:effectExtent l="0" t="0" r="18415" b="12700"/>
            <wp:docPr id="4" name="图片 4" descr="078345d355ffa62dde42a63c3bb0d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8345d355ffa62dde42a63c3bb0d56"/>
                    <pic:cNvPicPr>
                      <a:picLocks noChangeAspect="1"/>
                    </pic:cNvPicPr>
                  </pic:nvPicPr>
                  <pic:blipFill>
                    <a:blip r:embed="rId6"/>
                    <a:stretch>
                      <a:fillRect/>
                    </a:stretch>
                  </pic:blipFill>
                  <pic:spPr>
                    <a:xfrm>
                      <a:off x="0" y="0"/>
                      <a:ext cx="5429885" cy="3663950"/>
                    </a:xfrm>
                    <a:prstGeom prst="rect">
                      <a:avLst/>
                    </a:prstGeom>
                  </pic:spPr>
                </pic:pic>
              </a:graphicData>
            </a:graphic>
          </wp:inline>
        </w:drawing>
      </w: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州广播电视局局长杨永鹤同志作表态发言，他指出，一定按照州委巡察组的要求，义不容辞的配合巡察组做好相关工作，确保巡察工作顺利开展。一要树牢政治意识，提高思想认识；二要主动做好服务，全力支持配合；三要严格责任落实，狠抓问题整改；四要抓住机遇，以这次巡察工作为契机推动工作再上新台阶。</w:t>
      </w:r>
    </w:p>
    <w:p>
      <w:pPr>
        <w:ind w:firstLine="640" w:firstLineChars="200"/>
        <w:jc w:val="both"/>
        <w:rPr>
          <w:rFonts w:hint="eastAsia" w:asciiTheme="minorEastAsia" w:hAnsiTheme="minorEastAsia" w:cstheme="minorEastAsia"/>
          <w:b w:val="0"/>
          <w:bCs w:val="0"/>
          <w:sz w:val="32"/>
          <w:szCs w:val="32"/>
          <w:lang w:val="en-US" w:eastAsia="zh-CN"/>
        </w:rPr>
      </w:pPr>
    </w:p>
    <w:p>
      <w:pPr>
        <w:ind w:firstLine="640" w:firstLineChars="2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drawing>
          <wp:inline distT="0" distB="0" distL="114300" distR="114300">
            <wp:extent cx="5297170" cy="2959735"/>
            <wp:effectExtent l="0" t="0" r="17780" b="12065"/>
            <wp:docPr id="5" name="图片 5" descr="9044a22341f6ef7f6491f49232fb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044a22341f6ef7f6491f49232fb3cc"/>
                    <pic:cNvPicPr>
                      <a:picLocks noChangeAspect="1"/>
                    </pic:cNvPicPr>
                  </pic:nvPicPr>
                  <pic:blipFill>
                    <a:blip r:embed="rId7"/>
                    <a:stretch>
                      <a:fillRect/>
                    </a:stretch>
                  </pic:blipFill>
                  <pic:spPr>
                    <a:xfrm>
                      <a:off x="0" y="0"/>
                      <a:ext cx="5297170" cy="2959735"/>
                    </a:xfrm>
                    <a:prstGeom prst="rect">
                      <a:avLst/>
                    </a:prstGeom>
                  </pic:spPr>
                </pic:pic>
              </a:graphicData>
            </a:graphic>
          </wp:inline>
        </w:drawing>
      </w:r>
    </w:p>
    <w:p>
      <w:pPr>
        <w:ind w:firstLine="320" w:firstLineChars="100"/>
        <w:jc w:val="both"/>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最后州委第三巡察组组长和德华同志布置有关测评工作。</w:t>
      </w:r>
    </w:p>
    <w:p>
      <w:pPr>
        <w:ind w:firstLine="640" w:firstLineChars="200"/>
        <w:jc w:val="both"/>
        <w:rPr>
          <w:rFonts w:hint="eastAsia" w:asciiTheme="minorEastAsia" w:hAnsiTheme="minorEastAsia" w:cstheme="minorEastAsia"/>
          <w:b w:val="0"/>
          <w:bCs w:val="0"/>
          <w:sz w:val="32"/>
          <w:szCs w:val="32"/>
          <w:lang w:val="en-US" w:eastAsia="zh-CN"/>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5117465</wp:posOffset>
              </wp:positionH>
              <wp:positionV relativeFrom="paragraph">
                <wp:posOffset>46990</wp:posOffset>
              </wp:positionV>
              <wp:extent cx="1828800" cy="3467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2.95pt;margin-top:3.7pt;height:27.3pt;width:144pt;mso-position-horizontal-relative:margin;mso-wrap-style:none;z-index:251658240;mso-width-relative:page;mso-height-relative:page;" filled="f" stroked="f" coordsize="21600,21600" o:gfxdata="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eYsU2QAAAAkBAAAPAAAAAAAAAAEAIAAAACIAAABkcnMvZG93bnJl&#10;di54bWxQSwECFAAUAAAACACHTuJANel+MDUCAABgBAAADgAAAAAAAAABACAAAAAoAQAAZHJzL2Uy&#10;b0RvYy54bWxQSwUGAAAAAAYABgBZAQAAzwUAAAAA&#10;">
              <v:fill on="f" focussize="0,0"/>
              <v:stroke on="f" weight="0.5pt"/>
              <v:imagedata o:title=""/>
              <o:lock v:ext="edit" aspectratio="f"/>
              <v:textbox inset="0mm,0mm,0mm,0mm">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4E40"/>
    <w:rsid w:val="02A01676"/>
    <w:rsid w:val="18777669"/>
    <w:rsid w:val="7DB9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2020-09-29T03:16:00Z</dcterms:created>
  <dc:creator>熊鹰</dc:creator>
  <cp:lastModifiedBy>红色指甲片1417237984</cp:lastModifiedBy>
  <dcterms:modified xsi:type="dcterms:W3CDTF">2020-09-30T01:26:44Z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