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迪庆州人民医院</w:t>
      </w:r>
      <w:r>
        <w:rPr>
          <w:rFonts w:hint="eastAsia" w:ascii="方正小标宋简体" w:hAnsi="方正小标宋简体" w:eastAsia="方正小标宋简体" w:cs="方正小标宋简体"/>
          <w:sz w:val="36"/>
          <w:szCs w:val="36"/>
          <w:lang w:val="en-US" w:eastAsia="zh-CN"/>
        </w:rPr>
        <w:t>2019</w:t>
      </w:r>
      <w:r>
        <w:rPr>
          <w:rFonts w:hint="eastAsia" w:ascii="方正小标宋简体" w:hAnsi="方正小标宋简体" w:eastAsia="方正小标宋简体" w:cs="方正小标宋简体"/>
          <w:sz w:val="36"/>
          <w:szCs w:val="36"/>
        </w:rPr>
        <w:t>年度部门决算</w:t>
      </w:r>
    </w:p>
    <w:p>
      <w:pPr>
        <w:jc w:val="left"/>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                         </w:t>
      </w:r>
    </w:p>
    <w:p>
      <w:pPr>
        <w:jc w:val="center"/>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目录</w:t>
      </w: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迪庆州人民医院</w:t>
      </w:r>
      <w:r>
        <w:rPr>
          <w:rFonts w:hint="eastAsia" w:ascii="黑体" w:hAnsi="黑体" w:eastAsia="黑体"/>
          <w:sz w:val="30"/>
          <w:szCs w:val="30"/>
        </w:rPr>
        <w:t>概况</w:t>
      </w:r>
    </w:p>
    <w:p>
      <w:pPr>
        <w:pStyle w:val="4"/>
        <w:rPr>
          <w:rFonts w:hint="eastAsia" w:ascii="楷体" w:hAnsi="楷体" w:eastAsia="楷体" w:cs="楷体"/>
          <w:sz w:val="30"/>
          <w:szCs w:val="30"/>
          <w:lang w:val="en-US" w:eastAsia="zh-CN"/>
        </w:rPr>
      </w:pPr>
      <w:r>
        <w:rPr>
          <w:rFonts w:hint="eastAsia" w:ascii="方正仿宋简体" w:hAnsi="方正仿宋简体" w:eastAsia="方正仿宋简体"/>
          <w:color w:val="333333"/>
          <w:sz w:val="32"/>
          <w:szCs w:val="32"/>
          <w:shd w:val="clear" w:color="auto" w:fill="FFFFFF"/>
          <w:lang w:val="en-US" w:eastAsia="zh-CN"/>
        </w:rPr>
        <w:t xml:space="preserve">  </w:t>
      </w:r>
      <w:r>
        <w:rPr>
          <w:rFonts w:hint="eastAsia" w:ascii="楷体" w:hAnsi="楷体" w:eastAsia="楷体" w:cs="楷体"/>
          <w:color w:val="333333"/>
          <w:sz w:val="32"/>
          <w:szCs w:val="32"/>
          <w:shd w:val="clear" w:color="auto" w:fill="FFFFFF"/>
          <w:lang w:val="en-US" w:eastAsia="zh-CN"/>
        </w:rPr>
        <w:t xml:space="preserve"> </w:t>
      </w:r>
      <w:r>
        <w:rPr>
          <w:rFonts w:hint="eastAsia" w:ascii="楷体" w:hAnsi="楷体" w:eastAsia="楷体" w:cs="楷体"/>
          <w:color w:val="333333"/>
          <w:sz w:val="30"/>
          <w:szCs w:val="30"/>
          <w:shd w:val="clear" w:color="auto" w:fill="FFFFFF"/>
          <w:lang w:val="en-US" w:eastAsia="zh-CN"/>
        </w:rPr>
        <w:t xml:space="preserve"> </w:t>
      </w:r>
      <w:r>
        <w:rPr>
          <w:rFonts w:hint="eastAsia" w:ascii="楷体" w:hAnsi="楷体" w:eastAsia="楷体" w:cs="楷体"/>
          <w:color w:val="333333"/>
          <w:sz w:val="30"/>
          <w:szCs w:val="30"/>
          <w:shd w:val="clear" w:color="auto" w:fill="FFFFFF"/>
        </w:rPr>
        <w:t>迪庆藏族自治州人民医院始建于1972年，地处香格里拉市建塘镇池慈卡街</w:t>
      </w:r>
      <w:r>
        <w:rPr>
          <w:rFonts w:hint="eastAsia" w:ascii="楷体" w:hAnsi="楷体" w:eastAsia="楷体" w:cs="楷体"/>
          <w:color w:val="333333"/>
          <w:sz w:val="30"/>
          <w:szCs w:val="30"/>
          <w:shd w:val="clear" w:color="auto" w:fill="FFFFFF"/>
          <w:lang w:eastAsia="zh-CN"/>
        </w:rPr>
        <w:t>。历年来</w:t>
      </w:r>
      <w:r>
        <w:rPr>
          <w:rFonts w:hint="eastAsia" w:ascii="楷体" w:hAnsi="楷体" w:eastAsia="楷体" w:cs="楷体"/>
          <w:sz w:val="30"/>
          <w:szCs w:val="30"/>
        </w:rPr>
        <w:t>在各级党委政府的关怀下，经过四十余年的拼搏进取，</w:t>
      </w:r>
      <w:r>
        <w:rPr>
          <w:rFonts w:hint="eastAsia" w:ascii="楷体" w:hAnsi="楷体" w:eastAsia="楷体" w:cs="楷体"/>
          <w:color w:val="333333"/>
          <w:sz w:val="30"/>
          <w:szCs w:val="30"/>
          <w:shd w:val="clear" w:color="auto" w:fill="FFFFFF"/>
        </w:rPr>
        <w:t>已</w:t>
      </w:r>
      <w:r>
        <w:rPr>
          <w:rFonts w:hint="eastAsia" w:ascii="楷体" w:hAnsi="楷体" w:eastAsia="楷体" w:cs="楷体"/>
          <w:color w:val="333333"/>
          <w:sz w:val="30"/>
          <w:szCs w:val="30"/>
          <w:shd w:val="clear" w:color="auto" w:fill="FFFFFF"/>
          <w:lang w:eastAsia="zh-CN"/>
        </w:rPr>
        <w:t>发展</w:t>
      </w:r>
      <w:r>
        <w:rPr>
          <w:rFonts w:hint="eastAsia" w:ascii="楷体" w:hAnsi="楷体" w:eastAsia="楷体" w:cs="楷体"/>
          <w:color w:val="333333"/>
          <w:sz w:val="30"/>
          <w:szCs w:val="30"/>
          <w:shd w:val="clear" w:color="auto" w:fill="FFFFFF"/>
        </w:rPr>
        <w:t>成为科室设置齐全，医疗设备先进，管理水平较高，技术力量雄厚，医疗服务优良，集</w:t>
      </w:r>
      <w:r>
        <w:rPr>
          <w:rFonts w:hint="eastAsia" w:ascii="楷体" w:hAnsi="楷体" w:eastAsia="楷体" w:cs="楷体"/>
          <w:sz w:val="30"/>
          <w:szCs w:val="30"/>
        </w:rPr>
        <w:t>医疗、急救、教学、科研、公共卫生为一体的州内唯一一家三级乙等综合性医院</w:t>
      </w:r>
      <w:r>
        <w:rPr>
          <w:rFonts w:hint="eastAsia" w:ascii="楷体" w:hAnsi="楷体" w:eastAsia="楷体" w:cs="楷体"/>
          <w:sz w:val="30"/>
          <w:szCs w:val="30"/>
          <w:lang w:val="en-US" w:eastAsia="zh-CN"/>
        </w:rPr>
        <w:t>(2020年4月上旬通过三甲医院现场评审)</w:t>
      </w:r>
      <w:r>
        <w:rPr>
          <w:rFonts w:hint="eastAsia" w:ascii="楷体" w:hAnsi="楷体" w:eastAsia="楷体" w:cs="楷体"/>
          <w:sz w:val="30"/>
          <w:szCs w:val="30"/>
        </w:rPr>
        <w:t>，</w:t>
      </w:r>
      <w:r>
        <w:rPr>
          <w:rFonts w:hint="eastAsia" w:ascii="楷体" w:hAnsi="楷体" w:eastAsia="楷体" w:cs="楷体"/>
          <w:color w:val="333333"/>
          <w:sz w:val="30"/>
          <w:szCs w:val="30"/>
          <w:shd w:val="clear" w:color="auto" w:fill="FFFFFF"/>
        </w:rPr>
        <w:t>为政府公益性医疗机构。</w:t>
      </w:r>
      <w:r>
        <w:rPr>
          <w:rFonts w:hint="eastAsia" w:ascii="楷体" w:hAnsi="楷体" w:eastAsia="楷体" w:cs="楷体"/>
          <w:sz w:val="30"/>
          <w:szCs w:val="30"/>
        </w:rPr>
        <w:t>承担着全州4</w:t>
      </w:r>
      <w:r>
        <w:rPr>
          <w:rFonts w:hint="eastAsia" w:ascii="楷体" w:hAnsi="楷体" w:eastAsia="楷体" w:cs="楷体"/>
          <w:sz w:val="30"/>
          <w:szCs w:val="30"/>
          <w:lang w:val="en-US" w:eastAsia="zh-CN"/>
        </w:rPr>
        <w:t>1</w:t>
      </w:r>
      <w:r>
        <w:rPr>
          <w:rFonts w:hint="eastAsia" w:ascii="楷体" w:hAnsi="楷体" w:eastAsia="楷体" w:cs="楷体"/>
          <w:sz w:val="30"/>
          <w:szCs w:val="30"/>
        </w:rPr>
        <w:t>万人口及东部藏区的医疗救治</w:t>
      </w:r>
      <w:r>
        <w:rPr>
          <w:rFonts w:hint="eastAsia" w:ascii="楷体" w:hAnsi="楷体" w:eastAsia="楷体" w:cs="楷体"/>
          <w:sz w:val="30"/>
          <w:szCs w:val="30"/>
          <w:lang w:eastAsia="zh-CN"/>
        </w:rPr>
        <w:t>任务。</w:t>
      </w:r>
      <w:r>
        <w:rPr>
          <w:rFonts w:hint="eastAsia" w:ascii="楷体" w:hAnsi="楷体" w:eastAsia="楷体" w:cs="楷体"/>
          <w:sz w:val="30"/>
          <w:szCs w:val="30"/>
        </w:rPr>
        <w:t>医院占地</w:t>
      </w:r>
      <w:r>
        <w:rPr>
          <w:rFonts w:hint="eastAsia" w:ascii="楷体" w:hAnsi="楷体" w:eastAsia="楷体" w:cs="楷体"/>
          <w:sz w:val="30"/>
          <w:szCs w:val="30"/>
          <w:lang w:val="en-US" w:eastAsia="zh-CN"/>
        </w:rPr>
        <w:t>49.24</w:t>
      </w:r>
      <w:r>
        <w:rPr>
          <w:rFonts w:hint="eastAsia" w:ascii="楷体" w:hAnsi="楷体" w:eastAsia="楷体" w:cs="楷体"/>
          <w:sz w:val="30"/>
          <w:szCs w:val="30"/>
        </w:rPr>
        <w:t>亩，建筑面积</w:t>
      </w:r>
      <w:r>
        <w:rPr>
          <w:rFonts w:hint="eastAsia" w:ascii="楷体" w:hAnsi="楷体" w:eastAsia="楷体" w:cs="楷体"/>
          <w:sz w:val="30"/>
          <w:szCs w:val="30"/>
          <w:lang w:val="en-US" w:eastAsia="zh-CN"/>
        </w:rPr>
        <w:t>37965.63</w:t>
      </w:r>
      <w:r>
        <w:rPr>
          <w:rFonts w:hint="eastAsia" w:ascii="楷体" w:hAnsi="楷体" w:eastAsia="楷体" w:cs="楷体"/>
          <w:sz w:val="30"/>
          <w:szCs w:val="30"/>
        </w:rPr>
        <w:t>平方米；共有编制床位650张，实际开放床位386张；人员编制313人，现有职工</w:t>
      </w:r>
      <w:r>
        <w:rPr>
          <w:rFonts w:hint="eastAsia" w:ascii="楷体" w:hAnsi="楷体" w:eastAsia="楷体" w:cs="楷体"/>
          <w:sz w:val="30"/>
          <w:szCs w:val="30"/>
          <w:lang w:val="en-US" w:eastAsia="zh-CN"/>
        </w:rPr>
        <w:t>544</w:t>
      </w:r>
      <w:r>
        <w:rPr>
          <w:rFonts w:hint="eastAsia" w:ascii="楷体" w:hAnsi="楷体" w:eastAsia="楷体" w:cs="楷体"/>
          <w:sz w:val="30"/>
          <w:szCs w:val="30"/>
        </w:rPr>
        <w:t>人（编内人员</w:t>
      </w:r>
      <w:r>
        <w:rPr>
          <w:rFonts w:hint="eastAsia" w:ascii="楷体" w:hAnsi="楷体" w:eastAsia="楷体" w:cs="楷体"/>
          <w:sz w:val="30"/>
          <w:szCs w:val="30"/>
          <w:lang w:val="en-US" w:eastAsia="zh-CN"/>
        </w:rPr>
        <w:t>293</w:t>
      </w:r>
      <w:r>
        <w:rPr>
          <w:rFonts w:hint="eastAsia" w:ascii="楷体" w:hAnsi="楷体" w:eastAsia="楷体" w:cs="楷体"/>
          <w:sz w:val="30"/>
          <w:szCs w:val="30"/>
        </w:rPr>
        <w:t>人，占</w:t>
      </w:r>
      <w:r>
        <w:rPr>
          <w:rFonts w:hint="eastAsia" w:ascii="楷体" w:hAnsi="楷体" w:eastAsia="楷体" w:cs="楷体"/>
          <w:sz w:val="30"/>
          <w:szCs w:val="30"/>
          <w:lang w:val="en-US" w:eastAsia="zh-CN"/>
        </w:rPr>
        <w:t>53.86</w:t>
      </w:r>
      <w:r>
        <w:rPr>
          <w:rFonts w:hint="eastAsia" w:ascii="楷体" w:hAnsi="楷体" w:eastAsia="楷体" w:cs="楷体"/>
          <w:sz w:val="30"/>
          <w:szCs w:val="30"/>
        </w:rPr>
        <w:t>%，编外人员</w:t>
      </w:r>
      <w:r>
        <w:rPr>
          <w:rFonts w:hint="eastAsia" w:ascii="楷体" w:hAnsi="楷体" w:eastAsia="楷体" w:cs="楷体"/>
          <w:sz w:val="30"/>
          <w:szCs w:val="30"/>
          <w:lang w:val="en-US" w:eastAsia="zh-CN"/>
        </w:rPr>
        <w:t>251</w:t>
      </w:r>
      <w:r>
        <w:rPr>
          <w:rFonts w:hint="eastAsia" w:ascii="楷体" w:hAnsi="楷体" w:eastAsia="楷体" w:cs="楷体"/>
          <w:sz w:val="30"/>
          <w:szCs w:val="30"/>
        </w:rPr>
        <w:t>人，占4</w:t>
      </w:r>
      <w:r>
        <w:rPr>
          <w:rFonts w:hint="eastAsia" w:ascii="楷体" w:hAnsi="楷体" w:eastAsia="楷体" w:cs="楷体"/>
          <w:sz w:val="30"/>
          <w:szCs w:val="30"/>
          <w:lang w:val="en-US" w:eastAsia="zh-CN"/>
        </w:rPr>
        <w:t>6</w:t>
      </w:r>
      <w:r>
        <w:rPr>
          <w:rFonts w:hint="eastAsia" w:ascii="楷体" w:hAnsi="楷体" w:eastAsia="楷体" w:cs="楷体"/>
          <w:sz w:val="30"/>
          <w:szCs w:val="30"/>
        </w:rPr>
        <w:t>.</w:t>
      </w:r>
      <w:r>
        <w:rPr>
          <w:rFonts w:hint="eastAsia" w:ascii="楷体" w:hAnsi="楷体" w:eastAsia="楷体" w:cs="楷体"/>
          <w:sz w:val="30"/>
          <w:szCs w:val="30"/>
          <w:lang w:val="en-US" w:eastAsia="zh-CN"/>
        </w:rPr>
        <w:t>14</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rPr>
        <w:t>其中</w:t>
      </w:r>
      <w:r>
        <w:rPr>
          <w:rFonts w:hint="eastAsia" w:ascii="楷体" w:hAnsi="楷体" w:eastAsia="楷体" w:cs="楷体"/>
          <w:sz w:val="30"/>
          <w:szCs w:val="30"/>
          <w:lang w:eastAsia="zh-CN"/>
        </w:rPr>
        <w:t>卫生</w:t>
      </w:r>
      <w:r>
        <w:rPr>
          <w:rFonts w:hint="eastAsia" w:ascii="楷体" w:hAnsi="楷体" w:eastAsia="楷体" w:cs="楷体"/>
          <w:sz w:val="30"/>
          <w:szCs w:val="30"/>
        </w:rPr>
        <w:t>专业技术人员</w:t>
      </w:r>
      <w:r>
        <w:rPr>
          <w:rFonts w:hint="eastAsia" w:ascii="楷体" w:hAnsi="楷体" w:eastAsia="楷体" w:cs="楷体"/>
          <w:sz w:val="30"/>
          <w:szCs w:val="30"/>
          <w:lang w:val="en-US" w:eastAsia="zh-CN"/>
        </w:rPr>
        <w:t>423</w:t>
      </w:r>
      <w:r>
        <w:rPr>
          <w:rFonts w:hint="eastAsia" w:ascii="楷体" w:hAnsi="楷体" w:eastAsia="楷体" w:cs="楷体"/>
          <w:sz w:val="30"/>
          <w:szCs w:val="30"/>
        </w:rPr>
        <w:t>人，占</w:t>
      </w:r>
      <w:r>
        <w:rPr>
          <w:rFonts w:hint="eastAsia" w:ascii="楷体" w:hAnsi="楷体" w:eastAsia="楷体" w:cs="楷体"/>
          <w:sz w:val="30"/>
          <w:szCs w:val="30"/>
          <w:lang w:val="en-US" w:eastAsia="zh-CN"/>
        </w:rPr>
        <w:t>77.8</w:t>
      </w:r>
      <w:r>
        <w:rPr>
          <w:rFonts w:hint="eastAsia" w:ascii="楷体" w:hAnsi="楷体" w:eastAsia="楷体" w:cs="楷体"/>
          <w:sz w:val="30"/>
          <w:szCs w:val="30"/>
        </w:rPr>
        <w:t>%，高级职称</w:t>
      </w:r>
      <w:r>
        <w:rPr>
          <w:rFonts w:hint="eastAsia" w:ascii="楷体" w:hAnsi="楷体" w:eastAsia="楷体" w:cs="楷体"/>
          <w:sz w:val="30"/>
          <w:szCs w:val="30"/>
          <w:lang w:val="en-US" w:eastAsia="zh-CN"/>
        </w:rPr>
        <w:t>73</w:t>
      </w:r>
      <w:r>
        <w:rPr>
          <w:rFonts w:hint="eastAsia" w:ascii="楷体" w:hAnsi="楷体" w:eastAsia="楷体" w:cs="楷体"/>
          <w:sz w:val="30"/>
          <w:szCs w:val="30"/>
        </w:rPr>
        <w:t>人</w:t>
      </w:r>
      <w:r>
        <w:rPr>
          <w:rFonts w:hint="eastAsia" w:ascii="楷体" w:hAnsi="楷体" w:eastAsia="楷体" w:cs="楷体"/>
          <w:sz w:val="30"/>
          <w:szCs w:val="30"/>
          <w:lang w:eastAsia="zh-CN"/>
        </w:rPr>
        <w:t>，</w:t>
      </w:r>
      <w:r>
        <w:rPr>
          <w:rFonts w:hint="eastAsia" w:ascii="楷体" w:hAnsi="楷体" w:eastAsia="楷体" w:cs="楷体"/>
          <w:sz w:val="30"/>
          <w:szCs w:val="30"/>
        </w:rPr>
        <w:t>占</w:t>
      </w:r>
      <w:r>
        <w:rPr>
          <w:rFonts w:hint="eastAsia" w:ascii="楷体" w:hAnsi="楷体" w:eastAsia="楷体" w:cs="楷体"/>
          <w:sz w:val="30"/>
          <w:szCs w:val="30"/>
          <w:lang w:val="en-US" w:eastAsia="zh-CN"/>
        </w:rPr>
        <w:t>13.4</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rPr>
        <w:t>研究生1人，本科</w:t>
      </w:r>
      <w:r>
        <w:rPr>
          <w:rFonts w:hint="eastAsia" w:ascii="楷体" w:hAnsi="楷体" w:eastAsia="楷体" w:cs="楷体"/>
          <w:sz w:val="30"/>
          <w:szCs w:val="30"/>
          <w:lang w:val="en-US" w:eastAsia="zh-CN"/>
        </w:rPr>
        <w:t>291</w:t>
      </w:r>
      <w:r>
        <w:rPr>
          <w:rFonts w:hint="eastAsia" w:ascii="楷体" w:hAnsi="楷体" w:eastAsia="楷体" w:cs="楷体"/>
          <w:sz w:val="30"/>
          <w:szCs w:val="30"/>
        </w:rPr>
        <w:t>人，本科以上学历占</w:t>
      </w:r>
      <w:r>
        <w:rPr>
          <w:rFonts w:hint="eastAsia" w:ascii="楷体" w:hAnsi="楷体" w:eastAsia="楷体" w:cs="楷体"/>
          <w:sz w:val="30"/>
          <w:szCs w:val="30"/>
          <w:lang w:val="en-US" w:eastAsia="zh-CN"/>
        </w:rPr>
        <w:t>53.7</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color w:val="auto"/>
          <w:sz w:val="30"/>
          <w:szCs w:val="30"/>
        </w:rPr>
        <w:t>共设</w:t>
      </w:r>
      <w:r>
        <w:rPr>
          <w:rFonts w:hint="eastAsia" w:ascii="楷体" w:hAnsi="楷体" w:eastAsia="楷体" w:cs="楷体"/>
          <w:color w:val="auto"/>
          <w:sz w:val="30"/>
          <w:szCs w:val="30"/>
          <w:lang w:val="en-US" w:eastAsia="zh-CN"/>
        </w:rPr>
        <w:t>24</w:t>
      </w:r>
      <w:r>
        <w:rPr>
          <w:rFonts w:hint="eastAsia" w:ascii="楷体" w:hAnsi="楷体" w:eastAsia="楷体" w:cs="楷体"/>
          <w:color w:val="auto"/>
          <w:sz w:val="30"/>
          <w:szCs w:val="30"/>
        </w:rPr>
        <w:t>临床</w:t>
      </w:r>
      <w:r>
        <w:rPr>
          <w:rFonts w:hint="eastAsia" w:ascii="楷体" w:hAnsi="楷体" w:eastAsia="楷体" w:cs="楷体"/>
          <w:color w:val="auto"/>
          <w:sz w:val="30"/>
          <w:szCs w:val="30"/>
          <w:lang w:eastAsia="zh-CN"/>
        </w:rPr>
        <w:t>医技</w:t>
      </w:r>
      <w:r>
        <w:rPr>
          <w:rFonts w:hint="eastAsia" w:ascii="楷体" w:hAnsi="楷体" w:eastAsia="楷体" w:cs="楷体"/>
          <w:color w:val="auto"/>
          <w:sz w:val="30"/>
          <w:szCs w:val="30"/>
        </w:rPr>
        <w:t>科室</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全院固定资</w:t>
      </w:r>
      <w:r>
        <w:rPr>
          <w:rFonts w:hint="eastAsia" w:ascii="楷体" w:hAnsi="楷体" w:eastAsia="楷体" w:cs="楷体"/>
          <w:sz w:val="30"/>
          <w:szCs w:val="30"/>
        </w:rPr>
        <w:t>产3.</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hint="eastAsia" w:ascii="楷体" w:hAnsi="楷体" w:eastAsia="楷体" w:cs="楷体"/>
          <w:color w:val="333333"/>
          <w:sz w:val="30"/>
          <w:szCs w:val="30"/>
          <w:shd w:val="clear" w:color="auto" w:fill="FFFFFF"/>
        </w:rPr>
        <w:t>拥有一批现代化的诊断治疗仪器设备</w:t>
      </w:r>
      <w:r>
        <w:rPr>
          <w:rFonts w:hint="eastAsia" w:ascii="楷体" w:hAnsi="楷体" w:eastAsia="楷体" w:cs="楷体"/>
          <w:color w:val="333333"/>
          <w:sz w:val="30"/>
          <w:szCs w:val="30"/>
          <w:shd w:val="clear" w:color="auto" w:fill="FFFFFF"/>
          <w:lang w:eastAsia="zh-CN"/>
        </w:rPr>
        <w:t>：</w:t>
      </w:r>
      <w:r>
        <w:rPr>
          <w:rFonts w:hint="eastAsia" w:ascii="楷体" w:hAnsi="楷体" w:eastAsia="楷体" w:cs="楷体"/>
          <w:sz w:val="30"/>
          <w:szCs w:val="30"/>
          <w:lang w:val="en-US" w:eastAsia="zh-CN"/>
        </w:rPr>
        <w:t>80</w:t>
      </w:r>
      <w:r>
        <w:rPr>
          <w:rFonts w:hint="eastAsia" w:ascii="楷体" w:hAnsi="楷体" w:eastAsia="楷体" w:cs="楷体"/>
          <w:sz w:val="30"/>
          <w:szCs w:val="30"/>
        </w:rPr>
        <w:t>排高端螺旋CT</w:t>
      </w:r>
      <w:r>
        <w:rPr>
          <w:rFonts w:hint="eastAsia" w:ascii="楷体" w:hAnsi="楷体" w:eastAsia="楷体" w:cs="楷体"/>
          <w:sz w:val="30"/>
          <w:szCs w:val="30"/>
          <w:lang w:eastAsia="zh-CN"/>
        </w:rPr>
        <w:t>、</w:t>
      </w:r>
      <w:r>
        <w:rPr>
          <w:rFonts w:hint="eastAsia" w:ascii="楷体" w:hAnsi="楷体" w:eastAsia="楷体" w:cs="楷体"/>
          <w:sz w:val="30"/>
          <w:szCs w:val="30"/>
        </w:rPr>
        <w:t>数字血管减影成像系统（DSA）</w:t>
      </w:r>
      <w:r>
        <w:rPr>
          <w:rFonts w:hint="eastAsia" w:ascii="楷体" w:hAnsi="楷体" w:eastAsia="楷体" w:cs="楷体"/>
          <w:sz w:val="30"/>
          <w:szCs w:val="30"/>
          <w:lang w:eastAsia="zh-CN"/>
        </w:rPr>
        <w:t>、彩色多普勒超声诊断仪、全自动生化分析仪、关节镜、腹腔镜、电子胃肠镜、数字胃肠机、神经外科显微镜、乳光超</w:t>
      </w:r>
      <w:r>
        <w:rPr>
          <w:rFonts w:hint="eastAsia" w:ascii="楷体" w:hAnsi="楷体" w:eastAsia="楷体" w:cs="楷体"/>
          <w:sz w:val="30"/>
          <w:szCs w:val="30"/>
        </w:rPr>
        <w:t>等</w:t>
      </w:r>
      <w:r>
        <w:rPr>
          <w:rFonts w:hint="eastAsia" w:ascii="楷体" w:hAnsi="楷体" w:eastAsia="楷体" w:cs="楷体"/>
          <w:sz w:val="30"/>
          <w:szCs w:val="30"/>
          <w:lang w:eastAsia="zh-CN"/>
        </w:rPr>
        <w:t>；年门诊量达25万人次；出院人数1.2万人次；麻醉手术</w:t>
      </w:r>
      <w:r>
        <w:rPr>
          <w:rFonts w:hint="eastAsia" w:ascii="楷体" w:hAnsi="楷体" w:eastAsia="楷体" w:cs="楷体"/>
          <w:sz w:val="30"/>
          <w:szCs w:val="30"/>
          <w:lang w:val="en-US" w:eastAsia="zh-CN"/>
        </w:rPr>
        <w:t>3300</w:t>
      </w:r>
      <w:r>
        <w:rPr>
          <w:rFonts w:hint="eastAsia" w:ascii="楷体" w:hAnsi="楷体" w:eastAsia="楷体" w:cs="楷体"/>
          <w:sz w:val="30"/>
          <w:szCs w:val="30"/>
          <w:lang w:eastAsia="zh-CN"/>
        </w:rPr>
        <w:t>台。可开展腰椎、胸椎、颈椎骨折内固定，髋、膝关节置换，经皮</w:t>
      </w:r>
      <w:r>
        <w:rPr>
          <w:rFonts w:hint="eastAsia" w:ascii="楷体" w:hAnsi="楷体" w:eastAsia="楷体" w:cs="楷体"/>
          <w:sz w:val="30"/>
          <w:szCs w:val="30"/>
        </w:rPr>
        <w:t>肾镜碎石取石术，腹腔镜下直肠癌、胃癌根治等三、四级手术</w:t>
      </w:r>
      <w:r>
        <w:rPr>
          <w:rFonts w:hint="eastAsia" w:ascii="楷体" w:hAnsi="楷体" w:eastAsia="楷体" w:cs="楷体"/>
          <w:sz w:val="30"/>
          <w:szCs w:val="30"/>
          <w:lang w:eastAsia="zh-CN"/>
        </w:rPr>
        <w:t>，</w:t>
      </w:r>
      <w:r>
        <w:rPr>
          <w:rFonts w:hint="eastAsia" w:ascii="楷体" w:hAnsi="楷体" w:eastAsia="楷体" w:cs="楷体"/>
          <w:sz w:val="30"/>
          <w:szCs w:val="30"/>
        </w:rPr>
        <w:t>心脏起搏器植入</w:t>
      </w:r>
      <w:r>
        <w:rPr>
          <w:rFonts w:hint="eastAsia" w:ascii="楷体" w:hAnsi="楷体" w:eastAsia="楷体" w:cs="楷体"/>
          <w:sz w:val="30"/>
          <w:szCs w:val="30"/>
          <w:lang w:eastAsia="zh-CN"/>
        </w:rPr>
        <w:t>，</w:t>
      </w:r>
      <w:r>
        <w:rPr>
          <w:rFonts w:hint="eastAsia" w:ascii="楷体" w:hAnsi="楷体" w:eastAsia="楷体" w:cs="楷体"/>
          <w:sz w:val="30"/>
          <w:szCs w:val="30"/>
        </w:rPr>
        <w:t>巴曲酶治疗急性缺血性脑卒中</w:t>
      </w:r>
      <w:r>
        <w:rPr>
          <w:rFonts w:hint="eastAsia" w:ascii="楷体" w:hAnsi="楷体" w:eastAsia="楷体" w:cs="楷体"/>
          <w:sz w:val="30"/>
          <w:szCs w:val="30"/>
          <w:lang w:eastAsia="zh-CN"/>
        </w:rPr>
        <w:t>，</w:t>
      </w:r>
      <w:r>
        <w:rPr>
          <w:rFonts w:hint="eastAsia" w:ascii="楷体" w:hAnsi="楷体" w:eastAsia="楷体" w:cs="楷体"/>
          <w:sz w:val="30"/>
          <w:szCs w:val="30"/>
        </w:rPr>
        <w:t>新生儿换血治疗</w:t>
      </w:r>
      <w:r>
        <w:rPr>
          <w:rFonts w:hint="eastAsia" w:ascii="楷体" w:hAnsi="楷体" w:eastAsia="楷体" w:cs="楷体"/>
          <w:sz w:val="30"/>
          <w:szCs w:val="30"/>
          <w:lang w:eastAsia="zh-CN"/>
        </w:rPr>
        <w:t>，心脏、血管介入治疗等，正在有序推进</w:t>
      </w:r>
      <w:r>
        <w:rPr>
          <w:rFonts w:hint="eastAsia" w:ascii="楷体" w:hAnsi="楷体" w:eastAsia="楷体" w:cs="楷体"/>
          <w:sz w:val="30"/>
          <w:szCs w:val="30"/>
        </w:rPr>
        <w:t>胸痛、卒中、创伤、</w:t>
      </w:r>
      <w:r>
        <w:rPr>
          <w:rFonts w:hint="eastAsia" w:ascii="楷体" w:hAnsi="楷体" w:eastAsia="楷体" w:cs="楷体"/>
          <w:sz w:val="30"/>
          <w:szCs w:val="30"/>
          <w:lang w:eastAsia="zh-CN"/>
        </w:rPr>
        <w:t>危重儿童和</w:t>
      </w:r>
      <w:r>
        <w:rPr>
          <w:rFonts w:hint="eastAsia" w:ascii="楷体" w:hAnsi="楷体" w:eastAsia="楷体" w:cs="楷体"/>
          <w:sz w:val="30"/>
          <w:szCs w:val="30"/>
        </w:rPr>
        <w:t>新生儿</w:t>
      </w:r>
      <w:r>
        <w:rPr>
          <w:rFonts w:hint="eastAsia" w:ascii="楷体" w:hAnsi="楷体" w:eastAsia="楷体" w:cs="楷体"/>
          <w:sz w:val="30"/>
          <w:szCs w:val="30"/>
          <w:lang w:eastAsia="zh-CN"/>
        </w:rPr>
        <w:t>救治</w:t>
      </w:r>
      <w:r>
        <w:rPr>
          <w:rFonts w:hint="eastAsia" w:ascii="楷体" w:hAnsi="楷体" w:eastAsia="楷体" w:cs="楷体"/>
          <w:sz w:val="30"/>
          <w:szCs w:val="30"/>
        </w:rPr>
        <w:t>、危重孕产妇</w:t>
      </w:r>
      <w:r>
        <w:rPr>
          <w:rFonts w:hint="eastAsia" w:ascii="楷体" w:hAnsi="楷体" w:eastAsia="楷体" w:cs="楷体"/>
          <w:sz w:val="30"/>
          <w:szCs w:val="30"/>
          <w:lang w:eastAsia="zh-CN"/>
        </w:rPr>
        <w:t>救治等</w:t>
      </w:r>
      <w:r>
        <w:rPr>
          <w:rFonts w:hint="eastAsia" w:ascii="楷体" w:hAnsi="楷体" w:eastAsia="楷体" w:cs="楷体"/>
          <w:sz w:val="30"/>
          <w:szCs w:val="30"/>
          <w:lang w:val="en-US" w:eastAsia="zh-CN"/>
        </w:rPr>
        <w:t>五大</w:t>
      </w:r>
      <w:r>
        <w:rPr>
          <w:rFonts w:hint="eastAsia" w:ascii="楷体" w:hAnsi="楷体" w:eastAsia="楷体" w:cs="楷体"/>
          <w:sz w:val="30"/>
          <w:szCs w:val="30"/>
        </w:rPr>
        <w:t>中心</w:t>
      </w:r>
      <w:r>
        <w:rPr>
          <w:rFonts w:hint="eastAsia" w:ascii="楷体" w:hAnsi="楷体" w:eastAsia="楷体" w:cs="楷体"/>
          <w:sz w:val="30"/>
          <w:szCs w:val="30"/>
          <w:lang w:eastAsia="zh-CN"/>
        </w:rPr>
        <w:t>建设。</w:t>
      </w:r>
      <w:r>
        <w:rPr>
          <w:rFonts w:hint="eastAsia" w:ascii="楷体" w:hAnsi="楷体" w:eastAsia="楷体" w:cs="楷体"/>
          <w:color w:val="333333"/>
          <w:sz w:val="30"/>
          <w:szCs w:val="30"/>
          <w:shd w:val="clear" w:color="auto" w:fill="FFFFFF"/>
        </w:rPr>
        <w:t>是上海瑞金医院北院及云南省</w:t>
      </w:r>
      <w:r>
        <w:rPr>
          <w:rFonts w:hint="eastAsia" w:ascii="楷体" w:hAnsi="楷体" w:eastAsia="楷体" w:cs="楷体"/>
          <w:color w:val="333333"/>
          <w:sz w:val="30"/>
          <w:szCs w:val="30"/>
          <w:shd w:val="clear" w:color="auto" w:fill="FFFFFF"/>
          <w:lang w:val="en-US" w:eastAsia="zh-CN"/>
        </w:rPr>
        <w:t>9</w:t>
      </w:r>
      <w:r>
        <w:rPr>
          <w:rFonts w:hint="eastAsia" w:ascii="楷体" w:hAnsi="楷体" w:eastAsia="楷体" w:cs="楷体"/>
          <w:color w:val="333333"/>
          <w:sz w:val="30"/>
          <w:szCs w:val="30"/>
          <w:shd w:val="clear" w:color="auto" w:fill="FFFFFF"/>
        </w:rPr>
        <w:t>家医疗机构合作帮扶协议医院、</w:t>
      </w:r>
      <w:r>
        <w:rPr>
          <w:rFonts w:hint="eastAsia" w:ascii="楷体" w:hAnsi="楷体" w:eastAsia="楷体" w:cs="楷体"/>
          <w:color w:val="333333"/>
          <w:sz w:val="30"/>
          <w:szCs w:val="30"/>
          <w:shd w:val="clear" w:color="auto" w:fill="FFFFFF"/>
          <w:lang w:eastAsia="zh-CN"/>
        </w:rPr>
        <w:t>云南省助理全科医生培训基地，也</w:t>
      </w:r>
      <w:r>
        <w:rPr>
          <w:rFonts w:hint="eastAsia" w:ascii="楷体" w:hAnsi="楷体" w:eastAsia="楷体" w:cs="楷体"/>
          <w:color w:val="333333"/>
          <w:sz w:val="30"/>
          <w:szCs w:val="30"/>
          <w:shd w:val="clear" w:color="auto" w:fill="FFFFFF"/>
        </w:rPr>
        <w:t>是保山医</w:t>
      </w:r>
      <w:r>
        <w:rPr>
          <w:rFonts w:hint="eastAsia" w:ascii="楷体" w:hAnsi="楷体" w:eastAsia="楷体" w:cs="楷体"/>
          <w:color w:val="333333"/>
          <w:sz w:val="30"/>
          <w:szCs w:val="30"/>
          <w:shd w:val="clear" w:color="auto" w:fill="FFFFFF"/>
          <w:lang w:eastAsia="zh-CN"/>
        </w:rPr>
        <w:t>专非直属附属医院、德宏职业卫生学校</w:t>
      </w:r>
      <w:r>
        <w:rPr>
          <w:rFonts w:hint="eastAsia" w:ascii="楷体" w:hAnsi="楷体" w:eastAsia="楷体" w:cs="楷体"/>
          <w:color w:val="333333"/>
          <w:sz w:val="30"/>
          <w:szCs w:val="30"/>
          <w:shd w:val="clear" w:color="auto" w:fill="FFFFFF"/>
        </w:rPr>
        <w:t>实习</w:t>
      </w:r>
      <w:r>
        <w:rPr>
          <w:rFonts w:hint="eastAsia" w:ascii="楷体" w:hAnsi="楷体" w:eastAsia="楷体" w:cs="楷体"/>
          <w:color w:val="333333"/>
          <w:sz w:val="30"/>
          <w:szCs w:val="30"/>
          <w:shd w:val="clear" w:color="auto" w:fill="FFFFFF"/>
          <w:lang w:eastAsia="zh-CN"/>
        </w:rPr>
        <w:t>医院及</w:t>
      </w:r>
      <w:r>
        <w:rPr>
          <w:rFonts w:hint="eastAsia" w:ascii="楷体" w:hAnsi="楷体" w:eastAsia="楷体" w:cs="楷体"/>
          <w:sz w:val="30"/>
          <w:szCs w:val="30"/>
          <w:lang w:eastAsia="zh-CN"/>
        </w:rPr>
        <w:t>迪庆州民族中等专业学校</w:t>
      </w:r>
      <w:r>
        <w:rPr>
          <w:rFonts w:hint="eastAsia" w:ascii="楷体" w:hAnsi="楷体" w:eastAsia="楷体" w:cs="楷体"/>
          <w:color w:val="333333"/>
          <w:sz w:val="30"/>
          <w:szCs w:val="30"/>
          <w:shd w:val="clear" w:color="auto" w:fill="FFFFFF"/>
        </w:rPr>
        <w:t>教学</w:t>
      </w:r>
      <w:r>
        <w:rPr>
          <w:rFonts w:hint="eastAsia" w:ascii="楷体" w:hAnsi="楷体" w:eastAsia="楷体" w:cs="楷体"/>
          <w:color w:val="333333"/>
          <w:sz w:val="30"/>
          <w:szCs w:val="30"/>
          <w:shd w:val="clear" w:color="auto" w:fill="FFFFFF"/>
          <w:lang w:eastAsia="zh-CN"/>
        </w:rPr>
        <w:t>医院</w:t>
      </w:r>
      <w:r>
        <w:rPr>
          <w:rFonts w:hint="eastAsia" w:ascii="楷体" w:hAnsi="楷体" w:eastAsia="楷体" w:cs="楷体"/>
          <w:sz w:val="30"/>
          <w:szCs w:val="30"/>
        </w:rPr>
        <w:t>。</w:t>
      </w:r>
      <w:r>
        <w:rPr>
          <w:rFonts w:hint="eastAsia" w:ascii="楷体" w:hAnsi="楷体" w:eastAsia="楷体" w:cs="楷体"/>
          <w:color w:val="333333"/>
          <w:sz w:val="30"/>
          <w:szCs w:val="30"/>
          <w:shd w:val="clear" w:color="auto" w:fill="FFFFFF"/>
          <w:lang w:val="en-US" w:eastAsia="zh-CN"/>
        </w:rPr>
        <w:t>拥</w:t>
      </w:r>
      <w:r>
        <w:rPr>
          <w:rFonts w:hint="eastAsia" w:ascii="楷体" w:hAnsi="楷体" w:eastAsia="楷体" w:cs="楷体"/>
          <w:sz w:val="30"/>
          <w:szCs w:val="30"/>
        </w:rPr>
        <w:t>有1个院士工作站</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8</w:t>
      </w:r>
      <w:r>
        <w:rPr>
          <w:rFonts w:hint="eastAsia" w:ascii="楷体" w:hAnsi="楷体" w:eastAsia="楷体" w:cs="楷体"/>
          <w:sz w:val="30"/>
          <w:szCs w:val="30"/>
        </w:rPr>
        <w:t>个省级重点专科</w:t>
      </w:r>
      <w:r>
        <w:rPr>
          <w:rFonts w:hint="eastAsia" w:ascii="楷体" w:hAnsi="楷体" w:eastAsia="楷体" w:cs="楷体"/>
          <w:sz w:val="30"/>
          <w:szCs w:val="30"/>
          <w:lang w:eastAsia="zh-CN"/>
        </w:rPr>
        <w:t>、</w:t>
      </w:r>
      <w:r>
        <w:rPr>
          <w:rFonts w:hint="eastAsia" w:ascii="楷体" w:hAnsi="楷体" w:eastAsia="楷体" w:cs="楷体"/>
          <w:sz w:val="30"/>
          <w:szCs w:val="30"/>
        </w:rPr>
        <w:t>4个专科联盟</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5</w:t>
      </w:r>
      <w:r>
        <w:rPr>
          <w:rFonts w:hint="eastAsia" w:ascii="楷体" w:hAnsi="楷体" w:eastAsia="楷体" w:cs="楷体"/>
          <w:sz w:val="30"/>
          <w:szCs w:val="30"/>
        </w:rPr>
        <w:t>个省级专家工作站</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5个省级质控中心分中心、</w:t>
      </w:r>
      <w:r>
        <w:rPr>
          <w:rFonts w:hint="eastAsia" w:ascii="楷体" w:hAnsi="楷体" w:eastAsia="楷体" w:cs="楷体"/>
          <w:sz w:val="30"/>
          <w:szCs w:val="30"/>
        </w:rPr>
        <w:t>7个州级质量控制中心</w:t>
      </w:r>
      <w:r>
        <w:rPr>
          <w:rFonts w:hint="eastAsia" w:ascii="楷体" w:hAnsi="楷体" w:eastAsia="楷体" w:cs="楷体"/>
          <w:sz w:val="30"/>
          <w:szCs w:val="30"/>
          <w:lang w:eastAsia="zh-CN"/>
        </w:rPr>
        <w:t>，并承担省州科研项目</w:t>
      </w:r>
      <w:r>
        <w:rPr>
          <w:rFonts w:hint="eastAsia" w:ascii="楷体" w:hAnsi="楷体" w:eastAsia="楷体" w:cs="楷体"/>
          <w:sz w:val="30"/>
          <w:szCs w:val="30"/>
          <w:lang w:val="en-US" w:eastAsia="zh-CN"/>
        </w:rPr>
        <w:t>6</w:t>
      </w:r>
      <w:r>
        <w:rPr>
          <w:rFonts w:hint="eastAsia" w:ascii="楷体" w:hAnsi="楷体" w:eastAsia="楷体" w:cs="楷体"/>
          <w:sz w:val="30"/>
          <w:szCs w:val="30"/>
          <w:lang w:eastAsia="zh-CN"/>
        </w:rPr>
        <w:t>项。</w:t>
      </w:r>
    </w:p>
    <w:p>
      <w:pPr>
        <w:jc w:val="left"/>
        <w:rPr>
          <w:rFonts w:hint="eastAsia" w:ascii="黑体" w:hAnsi="黑体" w:eastAsia="黑体"/>
          <w:sz w:val="30"/>
          <w:szCs w:val="30"/>
          <w:lang w:val="en-US" w:eastAsia="zh-CN"/>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2019</w:t>
      </w:r>
      <w:r>
        <w:rPr>
          <w:rFonts w:hint="eastAsia" w:ascii="黑体" w:hAnsi="黑体" w:eastAsia="黑体"/>
          <w:sz w:val="30"/>
          <w:szCs w:val="30"/>
        </w:rPr>
        <w:t>年度部门决算表</w:t>
      </w:r>
      <w:r>
        <w:rPr>
          <w:rFonts w:hint="eastAsia" w:ascii="黑体" w:hAnsi="黑体" w:eastAsia="黑体"/>
          <w:sz w:val="30"/>
          <w:szCs w:val="30"/>
          <w:lang w:eastAsia="zh-CN"/>
        </w:rPr>
        <w:t>（见附表）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hint="eastAsia" w:ascii="楷体" w:hAnsi="楷体" w:eastAsia="楷体"/>
          <w:sz w:val="30"/>
          <w:szCs w:val="30"/>
        </w:rPr>
      </w:pPr>
      <w:r>
        <w:rPr>
          <w:rFonts w:hint="eastAsia" w:ascii="楷体" w:hAnsi="楷体" w:eastAsia="楷体"/>
          <w:sz w:val="30"/>
          <w:szCs w:val="30"/>
        </w:rPr>
        <w:t>八、“三公”经费、行政参公单位机关运行经费情况表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2019</w:t>
      </w:r>
      <w:r>
        <w:rPr>
          <w:rFonts w:hint="eastAsia" w:ascii="黑体" w:hAnsi="黑体" w:eastAsia="黑体"/>
          <w:sz w:val="30"/>
          <w:szCs w:val="30"/>
        </w:rPr>
        <w:t>年度部门决算情况说明</w:t>
      </w:r>
    </w:p>
    <w:p>
      <w:pPr>
        <w:jc w:val="left"/>
        <w:rPr>
          <w:rFonts w:hint="eastAsia" w:ascii="楷体" w:hAnsi="楷体" w:eastAsia="楷体"/>
          <w:sz w:val="30"/>
          <w:szCs w:val="30"/>
          <w:lang w:eastAsia="zh-CN"/>
        </w:rPr>
      </w:pPr>
      <w:r>
        <w:rPr>
          <w:rFonts w:hint="eastAsia" w:ascii="楷体" w:hAnsi="楷体" w:eastAsia="楷体"/>
          <w:sz w:val="30"/>
          <w:szCs w:val="30"/>
        </w:rPr>
        <w:t>一、收入决算情况说明</w:t>
      </w:r>
      <w:r>
        <w:rPr>
          <w:rFonts w:hint="eastAsia" w:ascii="楷体" w:hAnsi="楷体" w:eastAsia="楷体"/>
          <w:sz w:val="30"/>
          <w:szCs w:val="30"/>
          <w:lang w:eastAsia="zh-CN"/>
        </w:rPr>
        <w:t>：本期迪庆州人民医院财政拨款收入合计390581611.33元，主要为为促进迪庆州人民医院发展拨入新建住院部大楼资金和医疗改革资金。事业收入合计186070075.98元，为医院医疗收入，其他收入合计24548858.9元，主要为</w:t>
      </w:r>
      <w:r>
        <w:rPr>
          <w:rFonts w:hint="eastAsia" w:ascii="楷体" w:hAnsi="楷体" w:eastAsia="楷体"/>
          <w:sz w:val="30"/>
          <w:szCs w:val="30"/>
          <w:lang w:val="en-US" w:eastAsia="zh-CN"/>
        </w:rPr>
        <w:t>2019年扶贫经费拨入</w:t>
      </w:r>
      <w:r>
        <w:rPr>
          <w:rFonts w:hint="eastAsia" w:ascii="楷体" w:hAnsi="楷体" w:eastAsia="楷体"/>
          <w:sz w:val="30"/>
          <w:szCs w:val="30"/>
          <w:lang w:eastAsia="zh-CN"/>
        </w:rPr>
        <w:t>。</w:t>
      </w:r>
    </w:p>
    <w:p>
      <w:pPr>
        <w:jc w:val="left"/>
        <w:rPr>
          <w:rFonts w:hint="eastAsia" w:ascii="楷体" w:hAnsi="楷体" w:eastAsia="楷体"/>
          <w:sz w:val="30"/>
          <w:szCs w:val="30"/>
          <w:lang w:eastAsia="zh-CN"/>
        </w:rPr>
      </w:pPr>
      <w:r>
        <w:rPr>
          <w:rFonts w:hint="eastAsia" w:ascii="楷体" w:hAnsi="楷体" w:eastAsia="楷体"/>
          <w:sz w:val="30"/>
          <w:szCs w:val="30"/>
        </w:rPr>
        <w:t>二、支出决算情况说明</w:t>
      </w:r>
      <w:r>
        <w:rPr>
          <w:rFonts w:hint="eastAsia" w:ascii="楷体" w:hAnsi="楷体" w:eastAsia="楷体"/>
          <w:sz w:val="30"/>
          <w:szCs w:val="30"/>
          <w:lang w:eastAsia="zh-CN"/>
        </w:rPr>
        <w:t>：本年迪庆州人民医院支出合计462694872.89元，其中基本支出合计323547457.22元，主要为自有支出和财政基本拨款支出。项目支出合计139147415.67元。</w:t>
      </w:r>
    </w:p>
    <w:p>
      <w:pPr>
        <w:jc w:val="left"/>
        <w:rPr>
          <w:rFonts w:hint="eastAsia" w:ascii="楷体" w:hAnsi="楷体" w:eastAsia="楷体"/>
          <w:sz w:val="30"/>
          <w:szCs w:val="30"/>
          <w:lang w:eastAsia="zh-CN"/>
        </w:rPr>
      </w:pPr>
      <w:r>
        <w:rPr>
          <w:rFonts w:hint="eastAsia" w:ascii="楷体" w:hAnsi="楷体" w:eastAsia="楷体"/>
          <w:sz w:val="30"/>
          <w:szCs w:val="30"/>
        </w:rPr>
        <w:t>三、一般公共预算财政拨款支出决算情况说明</w:t>
      </w:r>
      <w:r>
        <w:rPr>
          <w:rFonts w:hint="eastAsia" w:ascii="楷体" w:hAnsi="楷体" w:eastAsia="楷体"/>
          <w:sz w:val="30"/>
          <w:szCs w:val="30"/>
          <w:lang w:eastAsia="zh-CN"/>
        </w:rPr>
        <w:t>：上年财政拨款结余15753331.16元，本年收入390581611.33元，其中财政基本拨款收入为83457662.72元，项目拨款收入307123948.61元，全年基本财政拨款支出合计202211467.39元，其中财政基本拨款支出83457662.72元，项目拨款支出合计118753804.67，年底结转204123475.1元。</w:t>
      </w:r>
    </w:p>
    <w:p>
      <w:pPr>
        <w:widowControl/>
        <w:snapToGrid w:val="0"/>
        <w:spacing w:before="100" w:after="100" w:line="360" w:lineRule="auto"/>
        <w:jc w:val="left"/>
        <w:rPr>
          <w:rFonts w:hint="eastAsia" w:ascii="楷体" w:hAnsi="楷体" w:eastAsia="楷体"/>
          <w:sz w:val="30"/>
          <w:szCs w:val="30"/>
          <w:lang w:eastAsia="zh-CN"/>
        </w:rPr>
      </w:pPr>
      <w:r>
        <w:rPr>
          <w:rFonts w:hint="eastAsia" w:ascii="楷体" w:hAnsi="楷体" w:eastAsia="楷体"/>
          <w:sz w:val="30"/>
          <w:szCs w:val="30"/>
        </w:rPr>
        <w:t>四、一般公共预算财政拨款“三公”经费支出决算情况说明</w:t>
      </w:r>
      <w:r>
        <w:rPr>
          <w:rFonts w:hint="eastAsia" w:ascii="楷体" w:hAnsi="楷体" w:eastAsia="楷体"/>
          <w:sz w:val="30"/>
          <w:szCs w:val="30"/>
          <w:lang w:eastAsia="zh-CN"/>
        </w:rPr>
        <w:t>：本年我院</w:t>
      </w:r>
      <w:r>
        <w:rPr>
          <w:rFonts w:hint="eastAsia" w:ascii="楷体" w:hAnsi="楷体" w:eastAsia="楷体"/>
          <w:sz w:val="30"/>
          <w:szCs w:val="30"/>
        </w:rPr>
        <w:t>一般公共预算财政拨款“三公”经费支出</w:t>
      </w:r>
      <w:r>
        <w:rPr>
          <w:rFonts w:hint="eastAsia" w:ascii="楷体" w:hAnsi="楷体" w:eastAsia="楷体"/>
          <w:sz w:val="30"/>
          <w:szCs w:val="30"/>
          <w:lang w:eastAsia="zh-CN"/>
        </w:rPr>
        <w:t>年初未下达预算。</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r>
        <w:rPr>
          <w:rFonts w:hint="eastAsia" w:ascii="楷体" w:hAnsi="楷体" w:eastAsia="楷体"/>
          <w:sz w:val="30"/>
          <w:szCs w:val="30"/>
          <w:lang w:val="en-US" w:eastAsia="zh-CN"/>
        </w:rPr>
        <w:t>:无特殊说明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r>
        <w:rPr>
          <w:rFonts w:hint="eastAsia" w:ascii="楷体" w:hAnsi="楷体" w:eastAsia="楷体"/>
          <w:sz w:val="30"/>
          <w:szCs w:val="30"/>
          <w:lang w:eastAsia="zh-CN"/>
        </w:rPr>
        <w:t>：无特殊说明</w:t>
      </w:r>
    </w:p>
    <w:p>
      <w:pPr>
        <w:jc w:val="left"/>
        <w:rPr>
          <w:rFonts w:hint="default" w:ascii="楷体" w:hAnsi="楷体" w:eastAsia="楷体"/>
          <w:sz w:val="30"/>
          <w:szCs w:val="30"/>
          <w:lang w:val="en-US"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r>
        <w:rPr>
          <w:rFonts w:hint="eastAsia" w:ascii="楷体" w:hAnsi="楷体" w:eastAsia="楷体"/>
          <w:sz w:val="30"/>
          <w:szCs w:val="30"/>
          <w:lang w:val="en-US" w:eastAsia="zh-CN"/>
        </w:rPr>
        <w:t>:本年本部门政府采购支出合计379,321,200.00元。</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（一）项目支出绩效自评/项目支出绩效自评报告（表）：本年本级财政未安排项目支出。</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（二）部门整体支出绩效自评报告</w:t>
      </w:r>
    </w:p>
    <w:p>
      <w:pPr>
        <w:ind w:firstLine="600" w:firstLineChars="200"/>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2019年，我院通过加强预算收支的管理，不断建立健全内部管理制度，理顺内部管理流程，部门整体支出管理情况得到了提升。部门整体支出绩效情况如下：</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（一）经济性评价</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1、从源头抓起，科学合理编制经费预算。根据中央和省、州财政预算改革的有关要求，结合单位实际需要，按标准、按项目科学认真编制部门预算。“三公”经费预算总额未突破上年。</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2、预算执行方面，支出总额基本控制在预算总额以内；不存在截留或滞留专项资金情况。全年没有新建楼堂馆所。</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（二）行政效能评价</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为强化部门整体支出，加强国有资产管理，提高资金使用效益，在财务管理和厉行节约方面开展了大量工作，行政效能显著。</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1、在原有相对健全的财务管理制度基础上，适时地、针对性的进行了相关制度的增补，制度的建立更为完善。</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2、重视制度的学习和宣讲工作，并已逐步形成了崇尚厉行节约反对浪费的机关文化。</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3、加强医疗服务质量建设，严肃查处大处方、乱检查、乱收费等行为，切实控制医疗费用不合理增长，确保广大群众得实惠。</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（三）部门整体支出绩效自评表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21"/>
        <w:gridCol w:w="400"/>
        <w:gridCol w:w="478"/>
        <w:gridCol w:w="396"/>
        <w:gridCol w:w="697"/>
        <w:gridCol w:w="400"/>
        <w:gridCol w:w="2726"/>
        <w:gridCol w:w="2943"/>
        <w:gridCol w:w="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521" w:type="dxa"/>
            <w:noWrap w:val="0"/>
            <w:vAlign w:val="center"/>
          </w:tcPr>
          <w:p>
            <w:pPr>
              <w:spacing w:line="340" w:lineRule="exact"/>
              <w:jc w:val="left"/>
              <w:rPr>
                <w:rFonts w:ascii="仿宋" w:hAnsi="仿宋" w:eastAsia="仿宋"/>
                <w:kern w:val="0"/>
                <w:sz w:val="18"/>
                <w:szCs w:val="18"/>
              </w:rPr>
            </w:pPr>
            <w:r>
              <w:rPr>
                <w:rFonts w:ascii="仿宋" w:hAnsi="仿宋" w:eastAsia="仿宋"/>
                <w:kern w:val="0"/>
                <w:sz w:val="18"/>
                <w:szCs w:val="18"/>
              </w:rPr>
              <w:t>一级指标</w:t>
            </w:r>
          </w:p>
        </w:tc>
        <w:tc>
          <w:tcPr>
            <w:tcW w:w="400" w:type="dxa"/>
            <w:noWrap w:val="0"/>
            <w:vAlign w:val="center"/>
          </w:tcPr>
          <w:p>
            <w:pPr>
              <w:spacing w:line="340" w:lineRule="exact"/>
              <w:jc w:val="center"/>
              <w:rPr>
                <w:rFonts w:ascii="仿宋" w:hAnsi="仿宋" w:eastAsia="仿宋"/>
                <w:kern w:val="0"/>
                <w:sz w:val="18"/>
                <w:szCs w:val="18"/>
              </w:rPr>
            </w:pPr>
            <w:r>
              <w:rPr>
                <w:rFonts w:ascii="仿宋" w:hAnsi="仿宋" w:eastAsia="仿宋"/>
                <w:kern w:val="0"/>
                <w:sz w:val="18"/>
                <w:szCs w:val="18"/>
              </w:rPr>
              <w:t>分值</w:t>
            </w:r>
          </w:p>
        </w:tc>
        <w:tc>
          <w:tcPr>
            <w:tcW w:w="478" w:type="dxa"/>
            <w:noWrap w:val="0"/>
            <w:vAlign w:val="center"/>
          </w:tcPr>
          <w:p>
            <w:pPr>
              <w:spacing w:line="340" w:lineRule="exact"/>
              <w:jc w:val="center"/>
              <w:rPr>
                <w:rFonts w:ascii="仿宋" w:hAnsi="仿宋" w:eastAsia="仿宋"/>
                <w:kern w:val="0"/>
                <w:sz w:val="18"/>
                <w:szCs w:val="18"/>
              </w:rPr>
            </w:pPr>
            <w:r>
              <w:rPr>
                <w:rFonts w:ascii="仿宋" w:hAnsi="仿宋" w:eastAsia="仿宋"/>
                <w:kern w:val="0"/>
                <w:sz w:val="18"/>
                <w:szCs w:val="18"/>
              </w:rPr>
              <w:t>二级</w:t>
            </w:r>
          </w:p>
          <w:p>
            <w:pPr>
              <w:spacing w:line="340" w:lineRule="exact"/>
              <w:jc w:val="center"/>
              <w:rPr>
                <w:rFonts w:ascii="仿宋" w:hAnsi="仿宋" w:eastAsia="仿宋"/>
                <w:kern w:val="0"/>
                <w:sz w:val="18"/>
                <w:szCs w:val="18"/>
              </w:rPr>
            </w:pPr>
            <w:r>
              <w:rPr>
                <w:rFonts w:ascii="仿宋" w:hAnsi="仿宋" w:eastAsia="仿宋"/>
                <w:kern w:val="0"/>
                <w:sz w:val="18"/>
                <w:szCs w:val="18"/>
              </w:rPr>
              <w:t>指标</w:t>
            </w:r>
          </w:p>
        </w:tc>
        <w:tc>
          <w:tcPr>
            <w:tcW w:w="396" w:type="dxa"/>
            <w:noWrap w:val="0"/>
            <w:vAlign w:val="center"/>
          </w:tcPr>
          <w:p>
            <w:pPr>
              <w:spacing w:line="340" w:lineRule="exact"/>
              <w:jc w:val="center"/>
              <w:rPr>
                <w:rFonts w:ascii="仿宋" w:hAnsi="仿宋" w:eastAsia="仿宋"/>
                <w:kern w:val="0"/>
                <w:sz w:val="18"/>
                <w:szCs w:val="18"/>
              </w:rPr>
            </w:pPr>
            <w:r>
              <w:rPr>
                <w:rFonts w:ascii="仿宋" w:hAnsi="仿宋" w:eastAsia="仿宋"/>
                <w:kern w:val="0"/>
                <w:sz w:val="18"/>
                <w:szCs w:val="18"/>
              </w:rPr>
              <w:t>分值</w:t>
            </w:r>
          </w:p>
        </w:tc>
        <w:tc>
          <w:tcPr>
            <w:tcW w:w="697" w:type="dxa"/>
            <w:noWrap w:val="0"/>
            <w:vAlign w:val="center"/>
          </w:tcPr>
          <w:p>
            <w:pPr>
              <w:spacing w:line="340" w:lineRule="exact"/>
              <w:jc w:val="center"/>
              <w:rPr>
                <w:rFonts w:ascii="仿宋" w:hAnsi="仿宋" w:eastAsia="仿宋"/>
                <w:kern w:val="0"/>
                <w:sz w:val="18"/>
                <w:szCs w:val="18"/>
              </w:rPr>
            </w:pPr>
            <w:r>
              <w:rPr>
                <w:rFonts w:ascii="仿宋" w:hAnsi="仿宋" w:eastAsia="仿宋"/>
                <w:kern w:val="0"/>
                <w:sz w:val="18"/>
                <w:szCs w:val="18"/>
              </w:rPr>
              <w:t>三级</w:t>
            </w:r>
          </w:p>
          <w:p>
            <w:pPr>
              <w:spacing w:line="340" w:lineRule="exact"/>
              <w:jc w:val="center"/>
              <w:rPr>
                <w:rFonts w:ascii="仿宋" w:hAnsi="仿宋" w:eastAsia="仿宋"/>
                <w:kern w:val="0"/>
                <w:sz w:val="18"/>
                <w:szCs w:val="18"/>
              </w:rPr>
            </w:pPr>
            <w:r>
              <w:rPr>
                <w:rFonts w:ascii="仿宋" w:hAnsi="仿宋" w:eastAsia="仿宋"/>
                <w:kern w:val="0"/>
                <w:sz w:val="18"/>
                <w:szCs w:val="18"/>
              </w:rPr>
              <w:t>指标</w:t>
            </w:r>
          </w:p>
        </w:tc>
        <w:tc>
          <w:tcPr>
            <w:tcW w:w="400" w:type="dxa"/>
            <w:noWrap w:val="0"/>
            <w:vAlign w:val="center"/>
          </w:tcPr>
          <w:p>
            <w:pPr>
              <w:jc w:val="center"/>
              <w:rPr>
                <w:rFonts w:ascii="仿宋" w:hAnsi="仿宋" w:eastAsia="仿宋"/>
                <w:kern w:val="0"/>
                <w:sz w:val="18"/>
                <w:szCs w:val="18"/>
              </w:rPr>
            </w:pPr>
            <w:r>
              <w:rPr>
                <w:rFonts w:ascii="仿宋" w:hAnsi="仿宋" w:eastAsia="仿宋"/>
                <w:kern w:val="0"/>
                <w:sz w:val="18"/>
                <w:szCs w:val="18"/>
              </w:rPr>
              <w:t>分值</w:t>
            </w:r>
          </w:p>
        </w:tc>
        <w:tc>
          <w:tcPr>
            <w:tcW w:w="2726" w:type="dxa"/>
            <w:noWrap w:val="0"/>
            <w:vAlign w:val="center"/>
          </w:tcPr>
          <w:p>
            <w:pPr>
              <w:jc w:val="center"/>
              <w:rPr>
                <w:rFonts w:ascii="仿宋" w:hAnsi="仿宋" w:eastAsia="仿宋"/>
                <w:kern w:val="0"/>
                <w:sz w:val="18"/>
                <w:szCs w:val="18"/>
              </w:rPr>
            </w:pPr>
            <w:r>
              <w:rPr>
                <w:rFonts w:ascii="仿宋" w:hAnsi="仿宋" w:eastAsia="仿宋"/>
                <w:kern w:val="0"/>
                <w:sz w:val="18"/>
                <w:szCs w:val="18"/>
              </w:rPr>
              <w:t>评价标准</w:t>
            </w:r>
          </w:p>
        </w:tc>
        <w:tc>
          <w:tcPr>
            <w:tcW w:w="2943" w:type="dxa"/>
            <w:noWrap w:val="0"/>
            <w:vAlign w:val="center"/>
          </w:tcPr>
          <w:p>
            <w:pPr>
              <w:jc w:val="center"/>
              <w:rPr>
                <w:rFonts w:ascii="仿宋" w:hAnsi="仿宋" w:eastAsia="仿宋"/>
                <w:kern w:val="0"/>
                <w:sz w:val="18"/>
                <w:szCs w:val="18"/>
              </w:rPr>
            </w:pPr>
            <w:r>
              <w:rPr>
                <w:rFonts w:ascii="仿宋" w:hAnsi="仿宋" w:eastAsia="仿宋"/>
                <w:kern w:val="0"/>
                <w:sz w:val="18"/>
                <w:szCs w:val="18"/>
              </w:rPr>
              <w:t>指标说明</w:t>
            </w:r>
          </w:p>
        </w:tc>
        <w:tc>
          <w:tcPr>
            <w:tcW w:w="498" w:type="dxa"/>
            <w:noWrap w:val="0"/>
            <w:vAlign w:val="center"/>
          </w:tcPr>
          <w:p>
            <w:pPr>
              <w:jc w:val="center"/>
              <w:rPr>
                <w:rFonts w:ascii="仿宋" w:hAnsi="仿宋" w:eastAsia="仿宋"/>
                <w:kern w:val="0"/>
                <w:sz w:val="18"/>
                <w:szCs w:val="18"/>
              </w:rPr>
            </w:pPr>
            <w:r>
              <w:rPr>
                <w:rFonts w:ascii="仿宋" w:hAnsi="仿宋" w:eastAsia="仿宋"/>
                <w:kern w:val="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4" w:hRule="atLeast"/>
          <w:jc w:val="center"/>
        </w:trPr>
        <w:tc>
          <w:tcPr>
            <w:tcW w:w="521"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投入</w:t>
            </w:r>
          </w:p>
        </w:tc>
        <w:tc>
          <w:tcPr>
            <w:tcW w:w="400"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10</w:t>
            </w:r>
          </w:p>
        </w:tc>
        <w:tc>
          <w:tcPr>
            <w:tcW w:w="478"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预算配置</w:t>
            </w:r>
          </w:p>
        </w:tc>
        <w:tc>
          <w:tcPr>
            <w:tcW w:w="396"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10</w:t>
            </w: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在职人员控制率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以100%为标准。在职人员控制率≦100%，计5分；每超过一个百分点扣0.5分，扣完为止。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在职人员控制率=（在职人员数/编制数）×100%，在职人员数：部门（单位）实际在职人数，以财政厅确定的部门决算编制口径为准。</w:t>
            </w:r>
            <w:r>
              <w:rPr>
                <w:rFonts w:ascii="仿宋" w:hAnsi="仿宋" w:eastAsia="仿宋"/>
                <w:kern w:val="0"/>
                <w:sz w:val="18"/>
                <w:szCs w:val="18"/>
              </w:rPr>
              <w:br w:type="textWrapping"/>
            </w:r>
            <w:r>
              <w:rPr>
                <w:rFonts w:ascii="仿宋" w:hAnsi="仿宋" w:eastAsia="仿宋"/>
                <w:kern w:val="0"/>
                <w:sz w:val="18"/>
                <w:szCs w:val="18"/>
              </w:rPr>
              <w:t>编制数：机构编制部门核定批复的部门（单位）的人员编制数。</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3"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continue"/>
            <w:noWrap w:val="0"/>
            <w:vAlign w:val="center"/>
          </w:tcPr>
          <w:p>
            <w:pPr>
              <w:spacing w:line="240" w:lineRule="exact"/>
              <w:jc w:val="left"/>
              <w:rPr>
                <w:rFonts w:ascii="仿宋" w:hAnsi="仿宋" w:eastAsia="仿宋"/>
                <w:kern w:val="0"/>
                <w:sz w:val="18"/>
                <w:szCs w:val="18"/>
              </w:rPr>
            </w:pPr>
          </w:p>
        </w:tc>
        <w:tc>
          <w:tcPr>
            <w:tcW w:w="396" w:type="dxa"/>
            <w:vMerge w:val="continue"/>
            <w:noWrap w:val="0"/>
            <w:vAlign w:val="center"/>
          </w:tcPr>
          <w:p>
            <w:pPr>
              <w:spacing w:line="240" w:lineRule="exact"/>
              <w:jc w:val="left"/>
              <w:rPr>
                <w:rFonts w:ascii="仿宋" w:hAnsi="仿宋" w:eastAsia="仿宋"/>
                <w:kern w:val="0"/>
                <w:sz w:val="18"/>
                <w:szCs w:val="18"/>
              </w:rPr>
            </w:pP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“三公经费”变动率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“三公经费”变动率≦0,计8分；“三公经费”＞0，每超过一个百分点扣0.8分，扣完为止。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“三公经费”变动率=[（本年度“三公经费”预算数-上年度“三公经费”预算数）/上年度“三公经费”预算数]×100%</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4" w:hRule="atLeast"/>
          <w:jc w:val="center"/>
        </w:trPr>
        <w:tc>
          <w:tcPr>
            <w:tcW w:w="521"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过                                                                                                                                       程</w:t>
            </w:r>
          </w:p>
        </w:tc>
        <w:tc>
          <w:tcPr>
            <w:tcW w:w="400"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60</w:t>
            </w:r>
          </w:p>
        </w:tc>
        <w:tc>
          <w:tcPr>
            <w:tcW w:w="478"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预算执行</w:t>
            </w:r>
          </w:p>
        </w:tc>
        <w:tc>
          <w:tcPr>
            <w:tcW w:w="396"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20</w:t>
            </w: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预算完成率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100%计满分，每低于5%扣2分，扣完为止。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预算完成率=（上年结转+年初预算+本年追加预算-年末结余）/（上年结转+年初预算+本年追加预算）×100%。</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7"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continue"/>
            <w:noWrap w:val="0"/>
            <w:vAlign w:val="center"/>
          </w:tcPr>
          <w:p>
            <w:pPr>
              <w:spacing w:line="240" w:lineRule="exact"/>
              <w:jc w:val="left"/>
              <w:rPr>
                <w:rFonts w:ascii="仿宋" w:hAnsi="仿宋" w:eastAsia="仿宋"/>
                <w:kern w:val="0"/>
                <w:sz w:val="18"/>
                <w:szCs w:val="18"/>
              </w:rPr>
            </w:pPr>
          </w:p>
        </w:tc>
        <w:tc>
          <w:tcPr>
            <w:tcW w:w="396" w:type="dxa"/>
            <w:vMerge w:val="continue"/>
            <w:noWrap w:val="0"/>
            <w:vAlign w:val="center"/>
          </w:tcPr>
          <w:p>
            <w:pPr>
              <w:spacing w:line="240" w:lineRule="exact"/>
              <w:jc w:val="left"/>
              <w:rPr>
                <w:rFonts w:ascii="仿宋" w:hAnsi="仿宋" w:eastAsia="仿宋"/>
                <w:kern w:val="0"/>
                <w:sz w:val="18"/>
                <w:szCs w:val="18"/>
              </w:rPr>
            </w:pP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预算控制率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预算控制率=0，计5分；0-10%（含），计4分；10-20%（含），计3分；20-30%（含），计2分；大于30%不得分。</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预算控制率=（本年追加预算/年初预算）×100%。</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3"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continue"/>
            <w:noWrap w:val="0"/>
            <w:vAlign w:val="center"/>
          </w:tcPr>
          <w:p>
            <w:pPr>
              <w:spacing w:line="240" w:lineRule="exact"/>
              <w:jc w:val="left"/>
              <w:rPr>
                <w:rFonts w:ascii="仿宋" w:hAnsi="仿宋" w:eastAsia="仿宋"/>
                <w:kern w:val="0"/>
                <w:sz w:val="18"/>
                <w:szCs w:val="18"/>
              </w:rPr>
            </w:pPr>
          </w:p>
        </w:tc>
        <w:tc>
          <w:tcPr>
            <w:tcW w:w="396" w:type="dxa"/>
            <w:vMerge w:val="continue"/>
            <w:noWrap w:val="0"/>
            <w:vAlign w:val="center"/>
          </w:tcPr>
          <w:p>
            <w:pPr>
              <w:spacing w:line="240" w:lineRule="exact"/>
              <w:jc w:val="left"/>
              <w:rPr>
                <w:rFonts w:ascii="仿宋" w:hAnsi="仿宋" w:eastAsia="仿宋"/>
                <w:kern w:val="0"/>
                <w:sz w:val="18"/>
                <w:szCs w:val="18"/>
              </w:rPr>
            </w:pP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新建楼堂馆所面积控制率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100%以下（含）计满分，每超出5%扣2分，扣完为止。没有楼堂馆所项目的部门按满分计算。</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楼堂馆所面积控制率=实际建设面积/批准建设面积×100% 。</w:t>
            </w:r>
            <w:r>
              <w:rPr>
                <w:rFonts w:ascii="仿宋" w:hAnsi="仿宋" w:eastAsia="仿宋"/>
                <w:kern w:val="0"/>
                <w:sz w:val="18"/>
                <w:szCs w:val="18"/>
              </w:rPr>
              <w:br w:type="textWrapping"/>
            </w:r>
            <w:r>
              <w:rPr>
                <w:rFonts w:ascii="仿宋" w:hAnsi="仿宋" w:eastAsia="仿宋"/>
                <w:kern w:val="0"/>
                <w:sz w:val="18"/>
                <w:szCs w:val="18"/>
              </w:rPr>
              <w:t>该指标以2016年完工的新建楼堂馆所为评价内容。</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3"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continue"/>
            <w:noWrap w:val="0"/>
            <w:vAlign w:val="center"/>
          </w:tcPr>
          <w:p>
            <w:pPr>
              <w:spacing w:line="240" w:lineRule="exact"/>
              <w:jc w:val="left"/>
              <w:rPr>
                <w:rFonts w:ascii="仿宋" w:hAnsi="仿宋" w:eastAsia="仿宋"/>
                <w:kern w:val="0"/>
                <w:sz w:val="18"/>
                <w:szCs w:val="18"/>
              </w:rPr>
            </w:pPr>
          </w:p>
        </w:tc>
        <w:tc>
          <w:tcPr>
            <w:tcW w:w="396" w:type="dxa"/>
            <w:vMerge w:val="continue"/>
            <w:noWrap w:val="0"/>
            <w:vAlign w:val="center"/>
          </w:tcPr>
          <w:p>
            <w:pPr>
              <w:spacing w:line="240" w:lineRule="exact"/>
              <w:jc w:val="left"/>
              <w:rPr>
                <w:rFonts w:ascii="仿宋" w:hAnsi="仿宋" w:eastAsia="仿宋"/>
                <w:kern w:val="0"/>
                <w:sz w:val="18"/>
                <w:szCs w:val="18"/>
              </w:rPr>
            </w:pP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新建楼堂馆所投资概算控制率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100%以下（含）计满分，每超出5%扣2分，扣完为止。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楼堂馆所投资预算控制率=实际投资金额/批准投资金额×100% 。</w:t>
            </w:r>
            <w:r>
              <w:rPr>
                <w:rFonts w:ascii="仿宋" w:hAnsi="仿宋" w:eastAsia="仿宋"/>
                <w:kern w:val="0"/>
                <w:sz w:val="18"/>
                <w:szCs w:val="18"/>
              </w:rPr>
              <w:br w:type="textWrapping"/>
            </w:r>
            <w:r>
              <w:rPr>
                <w:rFonts w:ascii="仿宋" w:hAnsi="仿宋" w:eastAsia="仿宋"/>
                <w:kern w:val="0"/>
                <w:sz w:val="18"/>
                <w:szCs w:val="18"/>
              </w:rPr>
              <w:t>该指标以2016年完工的新建楼堂馆所为评价内容。</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2"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预算管理</w:t>
            </w:r>
          </w:p>
        </w:tc>
        <w:tc>
          <w:tcPr>
            <w:tcW w:w="396" w:type="dxa"/>
            <w:vMerge w:val="restart"/>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40</w:t>
            </w: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公用经费控制率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8</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100%以下（含）计满分，每超出1%扣1分，扣完为止。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公用经费控制率=（实际支出公用经费总额/预算安排公用经费总额）×100%。</w:t>
            </w:r>
            <w:r>
              <w:rPr>
                <w:rFonts w:ascii="仿宋" w:hAnsi="仿宋" w:eastAsia="仿宋"/>
                <w:kern w:val="0"/>
                <w:sz w:val="18"/>
                <w:szCs w:val="18"/>
              </w:rPr>
              <w:br w:type="textWrapping"/>
            </w:r>
            <w:r>
              <w:rPr>
                <w:rFonts w:ascii="仿宋" w:hAnsi="仿宋" w:eastAsia="仿宋"/>
                <w:kern w:val="0"/>
                <w:sz w:val="18"/>
                <w:szCs w:val="18"/>
              </w:rPr>
              <w:t>公用经费支出是指部门基本支出中的一般商品和服务支出。</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continue"/>
            <w:noWrap w:val="0"/>
            <w:vAlign w:val="center"/>
          </w:tcPr>
          <w:p>
            <w:pPr>
              <w:spacing w:line="240" w:lineRule="exact"/>
              <w:jc w:val="left"/>
              <w:rPr>
                <w:rFonts w:ascii="仿宋" w:hAnsi="仿宋" w:eastAsia="仿宋"/>
                <w:kern w:val="0"/>
                <w:sz w:val="18"/>
                <w:szCs w:val="18"/>
              </w:rPr>
            </w:pPr>
          </w:p>
        </w:tc>
        <w:tc>
          <w:tcPr>
            <w:tcW w:w="396" w:type="dxa"/>
            <w:vMerge w:val="continue"/>
            <w:noWrap w:val="0"/>
            <w:vAlign w:val="center"/>
          </w:tcPr>
          <w:p>
            <w:pPr>
              <w:spacing w:line="240" w:lineRule="exact"/>
              <w:jc w:val="left"/>
              <w:rPr>
                <w:rFonts w:ascii="仿宋" w:hAnsi="仿宋" w:eastAsia="仿宋"/>
                <w:kern w:val="0"/>
                <w:sz w:val="18"/>
                <w:szCs w:val="18"/>
              </w:rPr>
            </w:pP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“三公经费”控制率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7</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100%以下（含）计满分，每超出1%扣1分，扣完为止。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“三公经费”控制率-（“三公经费”实际支出数/“三公经费”预算安排数）×100%。</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8" w:hRule="atLeast"/>
          <w:jc w:val="center"/>
        </w:trPr>
        <w:tc>
          <w:tcPr>
            <w:tcW w:w="521" w:type="dxa"/>
            <w:vMerge w:val="continue"/>
            <w:noWrap w:val="0"/>
            <w:vAlign w:val="center"/>
          </w:tcPr>
          <w:p>
            <w:pPr>
              <w:spacing w:line="240" w:lineRule="exact"/>
              <w:jc w:val="left"/>
              <w:rPr>
                <w:rFonts w:ascii="仿宋" w:hAnsi="仿宋" w:eastAsia="仿宋"/>
                <w:kern w:val="0"/>
                <w:sz w:val="18"/>
                <w:szCs w:val="18"/>
              </w:rPr>
            </w:pPr>
          </w:p>
        </w:tc>
        <w:tc>
          <w:tcPr>
            <w:tcW w:w="400" w:type="dxa"/>
            <w:vMerge w:val="continue"/>
            <w:noWrap w:val="0"/>
            <w:vAlign w:val="center"/>
          </w:tcPr>
          <w:p>
            <w:pPr>
              <w:spacing w:line="240" w:lineRule="exact"/>
              <w:jc w:val="left"/>
              <w:rPr>
                <w:rFonts w:ascii="仿宋" w:hAnsi="仿宋" w:eastAsia="仿宋"/>
                <w:kern w:val="0"/>
                <w:sz w:val="18"/>
                <w:szCs w:val="18"/>
              </w:rPr>
            </w:pPr>
          </w:p>
        </w:tc>
        <w:tc>
          <w:tcPr>
            <w:tcW w:w="478" w:type="dxa"/>
            <w:vMerge w:val="continue"/>
            <w:noWrap w:val="0"/>
            <w:vAlign w:val="center"/>
          </w:tcPr>
          <w:p>
            <w:pPr>
              <w:spacing w:line="240" w:lineRule="exact"/>
              <w:jc w:val="left"/>
              <w:rPr>
                <w:rFonts w:ascii="仿宋" w:hAnsi="仿宋" w:eastAsia="仿宋"/>
                <w:kern w:val="0"/>
                <w:sz w:val="18"/>
                <w:szCs w:val="18"/>
              </w:rPr>
            </w:pPr>
          </w:p>
        </w:tc>
        <w:tc>
          <w:tcPr>
            <w:tcW w:w="396" w:type="dxa"/>
            <w:vMerge w:val="continue"/>
            <w:noWrap w:val="0"/>
            <w:vAlign w:val="center"/>
          </w:tcPr>
          <w:p>
            <w:pPr>
              <w:spacing w:line="240" w:lineRule="exact"/>
              <w:jc w:val="left"/>
              <w:rPr>
                <w:rFonts w:ascii="仿宋" w:hAnsi="仿宋" w:eastAsia="仿宋"/>
                <w:kern w:val="0"/>
                <w:sz w:val="18"/>
                <w:szCs w:val="18"/>
              </w:rPr>
            </w:pPr>
          </w:p>
        </w:tc>
        <w:tc>
          <w:tcPr>
            <w:tcW w:w="697"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政府采购执行率</w:t>
            </w:r>
          </w:p>
        </w:tc>
        <w:tc>
          <w:tcPr>
            <w:tcW w:w="400" w:type="dxa"/>
            <w:noWrap w:val="0"/>
            <w:vAlign w:val="center"/>
          </w:tcPr>
          <w:p>
            <w:pPr>
              <w:spacing w:line="240" w:lineRule="exact"/>
              <w:jc w:val="center"/>
              <w:rPr>
                <w:rFonts w:ascii="仿宋" w:hAnsi="仿宋" w:eastAsia="仿宋"/>
                <w:kern w:val="0"/>
                <w:sz w:val="18"/>
                <w:szCs w:val="18"/>
              </w:rPr>
            </w:pPr>
            <w:r>
              <w:rPr>
                <w:rFonts w:ascii="仿宋" w:hAnsi="仿宋" w:eastAsia="仿宋"/>
                <w:kern w:val="0"/>
                <w:sz w:val="18"/>
                <w:szCs w:val="18"/>
              </w:rPr>
              <w:t>6</w:t>
            </w:r>
          </w:p>
        </w:tc>
        <w:tc>
          <w:tcPr>
            <w:tcW w:w="2726"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100%计满分，每超过（降低）5%扣2分。扣完为止。</w:t>
            </w:r>
          </w:p>
        </w:tc>
        <w:tc>
          <w:tcPr>
            <w:tcW w:w="2943" w:type="dxa"/>
            <w:noWrap w:val="0"/>
            <w:vAlign w:val="center"/>
          </w:tcPr>
          <w:p>
            <w:pPr>
              <w:spacing w:line="240" w:lineRule="exact"/>
              <w:jc w:val="left"/>
              <w:rPr>
                <w:rFonts w:ascii="仿宋" w:hAnsi="仿宋" w:eastAsia="仿宋"/>
                <w:kern w:val="0"/>
                <w:sz w:val="18"/>
                <w:szCs w:val="18"/>
              </w:rPr>
            </w:pPr>
            <w:r>
              <w:rPr>
                <w:rFonts w:ascii="仿宋" w:hAnsi="仿宋" w:eastAsia="仿宋"/>
                <w:kern w:val="0"/>
                <w:sz w:val="18"/>
                <w:szCs w:val="18"/>
              </w:rPr>
              <w:t>政府采购执行率=（实际政府采购金额/政府采购预算数）×100%</w:t>
            </w:r>
          </w:p>
        </w:tc>
        <w:tc>
          <w:tcPr>
            <w:tcW w:w="498" w:type="dxa"/>
            <w:noWrap w:val="0"/>
            <w:vAlign w:val="center"/>
          </w:tcPr>
          <w:p>
            <w:pPr>
              <w:spacing w:line="24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restart"/>
            <w:noWrap w:val="0"/>
            <w:vAlign w:val="center"/>
          </w:tcPr>
          <w:p>
            <w:pPr>
              <w:spacing w:line="280" w:lineRule="exact"/>
              <w:jc w:val="center"/>
              <w:rPr>
                <w:rFonts w:hint="eastAsia" w:ascii="仿宋" w:hAnsi="仿宋" w:eastAsia="仿宋"/>
                <w:kern w:val="0"/>
                <w:sz w:val="18"/>
                <w:szCs w:val="18"/>
              </w:rPr>
            </w:pPr>
            <w:r>
              <w:rPr>
                <w:rFonts w:ascii="仿宋" w:hAnsi="仿宋" w:eastAsia="仿宋"/>
                <w:kern w:val="0"/>
                <w:sz w:val="18"/>
                <w:szCs w:val="18"/>
              </w:rPr>
              <w:t>过</w:t>
            </w:r>
          </w:p>
          <w:p>
            <w:pPr>
              <w:spacing w:line="280" w:lineRule="exact"/>
              <w:jc w:val="center"/>
              <w:rPr>
                <w:rFonts w:ascii="仿宋" w:hAnsi="仿宋" w:eastAsia="仿宋"/>
                <w:kern w:val="0"/>
                <w:sz w:val="18"/>
                <w:szCs w:val="18"/>
              </w:rPr>
            </w:pPr>
            <w:r>
              <w:rPr>
                <w:rFonts w:ascii="仿宋" w:hAnsi="仿宋" w:eastAsia="仿宋"/>
                <w:kern w:val="0"/>
                <w:sz w:val="18"/>
                <w:szCs w:val="18"/>
              </w:rPr>
              <w:t>程</w:t>
            </w:r>
          </w:p>
        </w:tc>
        <w:tc>
          <w:tcPr>
            <w:tcW w:w="400" w:type="dxa"/>
            <w:vMerge w:val="restart"/>
            <w:noWrap w:val="0"/>
            <w:vAlign w:val="center"/>
          </w:tcPr>
          <w:p>
            <w:pPr>
              <w:spacing w:line="280" w:lineRule="exact"/>
              <w:jc w:val="left"/>
              <w:rPr>
                <w:rFonts w:ascii="仿宋" w:hAnsi="仿宋" w:eastAsia="仿宋"/>
                <w:kern w:val="0"/>
                <w:sz w:val="18"/>
                <w:szCs w:val="18"/>
              </w:rPr>
            </w:pPr>
          </w:p>
        </w:tc>
        <w:tc>
          <w:tcPr>
            <w:tcW w:w="478" w:type="dxa"/>
            <w:vMerge w:val="restart"/>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预算管理</w:t>
            </w:r>
          </w:p>
        </w:tc>
        <w:tc>
          <w:tcPr>
            <w:tcW w:w="396" w:type="dxa"/>
            <w:vMerge w:val="continue"/>
            <w:noWrap w:val="0"/>
            <w:vAlign w:val="center"/>
          </w:tcPr>
          <w:p>
            <w:pPr>
              <w:spacing w:line="280" w:lineRule="exact"/>
              <w:jc w:val="left"/>
              <w:rPr>
                <w:rFonts w:ascii="仿宋" w:hAnsi="仿宋" w:eastAsia="仿宋"/>
                <w:kern w:val="0"/>
                <w:sz w:val="18"/>
                <w:szCs w:val="18"/>
              </w:rPr>
            </w:pP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管理制度健全性</w:t>
            </w:r>
          </w:p>
        </w:tc>
        <w:tc>
          <w:tcPr>
            <w:tcW w:w="400"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8</w:t>
            </w:r>
          </w:p>
        </w:tc>
        <w:tc>
          <w:tcPr>
            <w:tcW w:w="2726" w:type="dxa"/>
            <w:noWrap w:val="0"/>
            <w:vAlign w:val="center"/>
          </w:tcPr>
          <w:p>
            <w:pPr>
              <w:spacing w:line="280" w:lineRule="exact"/>
              <w:jc w:val="left"/>
              <w:rPr>
                <w:rFonts w:ascii="仿宋" w:hAnsi="仿宋" w:eastAsia="仿宋"/>
                <w:kern w:val="0"/>
                <w:sz w:val="18"/>
                <w:szCs w:val="18"/>
              </w:rPr>
            </w:pPr>
            <w:r>
              <w:rPr>
                <w:rFonts w:hint="eastAsia" w:ascii="仿宋" w:hAnsi="仿宋" w:eastAsia="仿宋" w:cs="宋体"/>
                <w:kern w:val="0"/>
                <w:sz w:val="18"/>
                <w:szCs w:val="18"/>
              </w:rPr>
              <w:t>①</w:t>
            </w:r>
            <w:r>
              <w:rPr>
                <w:rFonts w:ascii="仿宋" w:hAnsi="仿宋" w:eastAsia="仿宋"/>
                <w:kern w:val="0"/>
                <w:sz w:val="18"/>
                <w:szCs w:val="18"/>
              </w:rPr>
              <w:t>有内部财务管理制度、会计核算制度等管理制度，2分；</w:t>
            </w:r>
            <w:r>
              <w:rPr>
                <w:rFonts w:ascii="仿宋" w:hAnsi="仿宋" w:eastAsia="仿宋"/>
                <w:kern w:val="0"/>
                <w:sz w:val="18"/>
                <w:szCs w:val="18"/>
              </w:rPr>
              <w:br w:type="textWrapping"/>
            </w:r>
            <w:r>
              <w:rPr>
                <w:rFonts w:hint="eastAsia" w:ascii="仿宋" w:hAnsi="仿宋" w:eastAsia="仿宋" w:cs="宋体"/>
                <w:kern w:val="0"/>
                <w:sz w:val="18"/>
                <w:szCs w:val="18"/>
              </w:rPr>
              <w:t>②</w:t>
            </w:r>
            <w:r>
              <w:rPr>
                <w:rFonts w:ascii="仿宋" w:hAnsi="仿宋" w:eastAsia="仿宋"/>
                <w:kern w:val="0"/>
                <w:sz w:val="18"/>
                <w:szCs w:val="18"/>
              </w:rPr>
              <w:t>有本部门厉行节约制度,2分；</w:t>
            </w:r>
            <w:r>
              <w:rPr>
                <w:rFonts w:ascii="仿宋" w:hAnsi="仿宋" w:eastAsia="仿宋"/>
                <w:kern w:val="0"/>
                <w:sz w:val="18"/>
                <w:szCs w:val="18"/>
              </w:rPr>
              <w:br w:type="textWrapping"/>
            </w:r>
            <w:r>
              <w:rPr>
                <w:rFonts w:hint="eastAsia" w:ascii="仿宋" w:hAnsi="仿宋" w:eastAsia="仿宋" w:cs="宋体"/>
                <w:kern w:val="0"/>
                <w:sz w:val="18"/>
                <w:szCs w:val="18"/>
              </w:rPr>
              <w:t>③</w:t>
            </w:r>
            <w:r>
              <w:rPr>
                <w:rFonts w:ascii="仿宋" w:hAnsi="仿宋" w:eastAsia="仿宋"/>
                <w:kern w:val="0"/>
                <w:sz w:val="18"/>
                <w:szCs w:val="18"/>
              </w:rPr>
              <w:t>相关管理制度合法、合规、完整，2分；</w:t>
            </w:r>
            <w:r>
              <w:rPr>
                <w:rFonts w:hint="eastAsia" w:ascii="仿宋" w:hAnsi="仿宋" w:eastAsia="仿宋" w:cs="宋体"/>
                <w:kern w:val="0"/>
                <w:sz w:val="18"/>
                <w:szCs w:val="18"/>
              </w:rPr>
              <w:t>④</w:t>
            </w:r>
            <w:r>
              <w:rPr>
                <w:rFonts w:ascii="仿宋" w:hAnsi="仿宋" w:eastAsia="仿宋"/>
                <w:kern w:val="0"/>
                <w:sz w:val="18"/>
                <w:szCs w:val="18"/>
              </w:rPr>
              <w:t>相关管理制度得到有效执行，2分。</w:t>
            </w:r>
          </w:p>
        </w:tc>
        <w:tc>
          <w:tcPr>
            <w:tcW w:w="2943"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　</w:t>
            </w:r>
          </w:p>
        </w:tc>
        <w:tc>
          <w:tcPr>
            <w:tcW w:w="498" w:type="dxa"/>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noWrap w:val="0"/>
            <w:vAlign w:val="center"/>
          </w:tcPr>
          <w:p>
            <w:pPr>
              <w:spacing w:line="280" w:lineRule="exact"/>
              <w:jc w:val="left"/>
              <w:rPr>
                <w:rFonts w:ascii="仿宋" w:hAnsi="仿宋" w:eastAsia="仿宋"/>
                <w:kern w:val="0"/>
                <w:sz w:val="18"/>
                <w:szCs w:val="18"/>
              </w:rPr>
            </w:pPr>
          </w:p>
        </w:tc>
        <w:tc>
          <w:tcPr>
            <w:tcW w:w="400" w:type="dxa"/>
            <w:vMerge w:val="continue"/>
            <w:noWrap w:val="0"/>
            <w:vAlign w:val="center"/>
          </w:tcPr>
          <w:p>
            <w:pPr>
              <w:spacing w:line="280" w:lineRule="exact"/>
              <w:jc w:val="left"/>
              <w:rPr>
                <w:rFonts w:ascii="仿宋" w:hAnsi="仿宋" w:eastAsia="仿宋"/>
                <w:kern w:val="0"/>
                <w:sz w:val="18"/>
                <w:szCs w:val="18"/>
              </w:rPr>
            </w:pPr>
          </w:p>
        </w:tc>
        <w:tc>
          <w:tcPr>
            <w:tcW w:w="478" w:type="dxa"/>
            <w:vMerge w:val="continue"/>
            <w:noWrap w:val="0"/>
            <w:vAlign w:val="center"/>
          </w:tcPr>
          <w:p>
            <w:pPr>
              <w:spacing w:line="280" w:lineRule="exact"/>
              <w:jc w:val="left"/>
              <w:rPr>
                <w:rFonts w:ascii="仿宋" w:hAnsi="仿宋" w:eastAsia="仿宋"/>
                <w:kern w:val="0"/>
                <w:sz w:val="18"/>
                <w:szCs w:val="18"/>
              </w:rPr>
            </w:pPr>
          </w:p>
        </w:tc>
        <w:tc>
          <w:tcPr>
            <w:tcW w:w="396" w:type="dxa"/>
            <w:vMerge w:val="continue"/>
            <w:noWrap w:val="0"/>
            <w:vAlign w:val="center"/>
          </w:tcPr>
          <w:p>
            <w:pPr>
              <w:spacing w:line="280" w:lineRule="exact"/>
              <w:jc w:val="left"/>
              <w:rPr>
                <w:rFonts w:ascii="仿宋" w:hAnsi="仿宋" w:eastAsia="仿宋"/>
                <w:kern w:val="0"/>
                <w:sz w:val="18"/>
                <w:szCs w:val="18"/>
              </w:rPr>
            </w:pP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资金使用合规性</w:t>
            </w:r>
          </w:p>
        </w:tc>
        <w:tc>
          <w:tcPr>
            <w:tcW w:w="400"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6</w:t>
            </w:r>
          </w:p>
        </w:tc>
        <w:tc>
          <w:tcPr>
            <w:tcW w:w="2726" w:type="dxa"/>
            <w:noWrap w:val="0"/>
            <w:vAlign w:val="center"/>
          </w:tcPr>
          <w:p>
            <w:pPr>
              <w:spacing w:line="280" w:lineRule="exact"/>
              <w:jc w:val="left"/>
              <w:rPr>
                <w:rFonts w:ascii="仿宋" w:hAnsi="仿宋" w:eastAsia="仿宋"/>
                <w:kern w:val="0"/>
                <w:sz w:val="18"/>
                <w:szCs w:val="18"/>
              </w:rPr>
            </w:pPr>
            <w:r>
              <w:rPr>
                <w:rFonts w:hint="eastAsia" w:ascii="仿宋" w:hAnsi="仿宋" w:eastAsia="仿宋" w:cs="宋体"/>
                <w:kern w:val="0"/>
                <w:sz w:val="18"/>
                <w:szCs w:val="18"/>
              </w:rPr>
              <w:t>①</w:t>
            </w:r>
            <w:r>
              <w:rPr>
                <w:rFonts w:ascii="仿宋" w:hAnsi="仿宋" w:eastAsia="仿宋"/>
                <w:kern w:val="0"/>
                <w:sz w:val="18"/>
                <w:szCs w:val="18"/>
              </w:rPr>
              <w:t>支出符合国家财经法规和财务管理制度规定以及有关专项资金管理办法的规定；</w:t>
            </w:r>
            <w:r>
              <w:rPr>
                <w:rFonts w:hint="eastAsia" w:ascii="仿宋" w:hAnsi="仿宋" w:eastAsia="仿宋" w:cs="宋体"/>
                <w:kern w:val="0"/>
                <w:sz w:val="18"/>
                <w:szCs w:val="18"/>
              </w:rPr>
              <w:t>②</w:t>
            </w:r>
            <w:r>
              <w:rPr>
                <w:rFonts w:ascii="仿宋" w:hAnsi="仿宋" w:eastAsia="仿宋"/>
                <w:kern w:val="0"/>
                <w:sz w:val="18"/>
                <w:szCs w:val="18"/>
              </w:rPr>
              <w:t>资金拨付有完整的审批程序和手续；</w:t>
            </w:r>
            <w:r>
              <w:rPr>
                <w:rFonts w:hint="eastAsia" w:ascii="仿宋" w:hAnsi="仿宋" w:eastAsia="仿宋" w:cs="宋体"/>
                <w:kern w:val="0"/>
                <w:sz w:val="18"/>
                <w:szCs w:val="18"/>
              </w:rPr>
              <w:t>③</w:t>
            </w:r>
            <w:r>
              <w:rPr>
                <w:rFonts w:ascii="仿宋" w:hAnsi="仿宋" w:eastAsia="仿宋"/>
                <w:kern w:val="0"/>
                <w:sz w:val="18"/>
                <w:szCs w:val="18"/>
              </w:rPr>
              <w:t>项目支出按规定经过评估论证；</w:t>
            </w:r>
            <w:r>
              <w:rPr>
                <w:rFonts w:hint="eastAsia" w:ascii="仿宋" w:hAnsi="仿宋" w:eastAsia="仿宋" w:cs="宋体"/>
                <w:kern w:val="0"/>
                <w:sz w:val="18"/>
                <w:szCs w:val="18"/>
              </w:rPr>
              <w:t>④</w:t>
            </w:r>
            <w:r>
              <w:rPr>
                <w:rFonts w:ascii="仿宋" w:hAnsi="仿宋" w:eastAsia="仿宋"/>
                <w:kern w:val="0"/>
                <w:sz w:val="18"/>
                <w:szCs w:val="18"/>
              </w:rPr>
              <w:t>支出符合部门预算批复的用途；</w:t>
            </w:r>
            <w:r>
              <w:rPr>
                <w:rFonts w:hint="eastAsia" w:ascii="仿宋" w:hAnsi="仿宋" w:eastAsia="仿宋" w:cs="宋体"/>
                <w:kern w:val="0"/>
                <w:sz w:val="18"/>
                <w:szCs w:val="18"/>
              </w:rPr>
              <w:t>⑤</w:t>
            </w:r>
            <w:r>
              <w:rPr>
                <w:rFonts w:ascii="仿宋" w:hAnsi="仿宋" w:eastAsia="仿宋"/>
                <w:kern w:val="0"/>
                <w:sz w:val="18"/>
                <w:szCs w:val="18"/>
              </w:rPr>
              <w:t>资金使用无截留、挤占、挪用、虚列支出等情况。</w:t>
            </w:r>
            <w:r>
              <w:rPr>
                <w:rFonts w:ascii="仿宋" w:hAnsi="仿宋" w:eastAsia="仿宋"/>
                <w:kern w:val="0"/>
                <w:sz w:val="18"/>
                <w:szCs w:val="18"/>
              </w:rPr>
              <w:br w:type="textWrapping"/>
            </w:r>
            <w:r>
              <w:rPr>
                <w:rFonts w:ascii="仿宋" w:hAnsi="仿宋" w:eastAsia="仿宋"/>
                <w:kern w:val="0"/>
                <w:sz w:val="18"/>
                <w:szCs w:val="18"/>
              </w:rPr>
              <w:t>以上情况每出现一例不符合要求的扣1分，扣完为止。</w:t>
            </w:r>
          </w:p>
        </w:tc>
        <w:tc>
          <w:tcPr>
            <w:tcW w:w="2943"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　</w:t>
            </w:r>
          </w:p>
        </w:tc>
        <w:tc>
          <w:tcPr>
            <w:tcW w:w="498" w:type="dxa"/>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noWrap w:val="0"/>
            <w:vAlign w:val="center"/>
          </w:tcPr>
          <w:p>
            <w:pPr>
              <w:spacing w:line="280" w:lineRule="exact"/>
              <w:jc w:val="left"/>
              <w:rPr>
                <w:rFonts w:ascii="仿宋" w:hAnsi="仿宋" w:eastAsia="仿宋"/>
                <w:kern w:val="0"/>
                <w:sz w:val="18"/>
                <w:szCs w:val="18"/>
              </w:rPr>
            </w:pPr>
          </w:p>
        </w:tc>
        <w:tc>
          <w:tcPr>
            <w:tcW w:w="400" w:type="dxa"/>
            <w:vMerge w:val="continue"/>
            <w:noWrap w:val="0"/>
            <w:vAlign w:val="center"/>
          </w:tcPr>
          <w:p>
            <w:pPr>
              <w:spacing w:line="280" w:lineRule="exact"/>
              <w:jc w:val="left"/>
              <w:rPr>
                <w:rFonts w:ascii="仿宋" w:hAnsi="仿宋" w:eastAsia="仿宋"/>
                <w:kern w:val="0"/>
                <w:sz w:val="18"/>
                <w:szCs w:val="18"/>
              </w:rPr>
            </w:pPr>
          </w:p>
        </w:tc>
        <w:tc>
          <w:tcPr>
            <w:tcW w:w="478" w:type="dxa"/>
            <w:vMerge w:val="continue"/>
            <w:noWrap w:val="0"/>
            <w:vAlign w:val="center"/>
          </w:tcPr>
          <w:p>
            <w:pPr>
              <w:spacing w:line="280" w:lineRule="exact"/>
              <w:jc w:val="left"/>
              <w:rPr>
                <w:rFonts w:ascii="仿宋" w:hAnsi="仿宋" w:eastAsia="仿宋"/>
                <w:kern w:val="0"/>
                <w:sz w:val="18"/>
                <w:szCs w:val="18"/>
              </w:rPr>
            </w:pPr>
          </w:p>
        </w:tc>
        <w:tc>
          <w:tcPr>
            <w:tcW w:w="396" w:type="dxa"/>
            <w:vMerge w:val="continue"/>
            <w:noWrap w:val="0"/>
            <w:vAlign w:val="center"/>
          </w:tcPr>
          <w:p>
            <w:pPr>
              <w:spacing w:line="280" w:lineRule="exact"/>
              <w:jc w:val="left"/>
              <w:rPr>
                <w:rFonts w:ascii="仿宋" w:hAnsi="仿宋" w:eastAsia="仿宋"/>
                <w:kern w:val="0"/>
                <w:sz w:val="18"/>
                <w:szCs w:val="18"/>
              </w:rPr>
            </w:pP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预决算信息公开性</w:t>
            </w:r>
          </w:p>
        </w:tc>
        <w:tc>
          <w:tcPr>
            <w:tcW w:w="400"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5</w:t>
            </w:r>
          </w:p>
        </w:tc>
        <w:tc>
          <w:tcPr>
            <w:tcW w:w="2726" w:type="dxa"/>
            <w:noWrap w:val="0"/>
            <w:vAlign w:val="center"/>
          </w:tcPr>
          <w:p>
            <w:pPr>
              <w:spacing w:line="280" w:lineRule="exact"/>
              <w:jc w:val="left"/>
              <w:rPr>
                <w:rFonts w:ascii="仿宋" w:hAnsi="仿宋" w:eastAsia="仿宋"/>
                <w:kern w:val="0"/>
                <w:sz w:val="18"/>
                <w:szCs w:val="18"/>
              </w:rPr>
            </w:pPr>
            <w:r>
              <w:rPr>
                <w:rFonts w:hint="eastAsia" w:ascii="仿宋" w:hAnsi="仿宋" w:eastAsia="仿宋" w:cs="宋体"/>
                <w:kern w:val="0"/>
                <w:sz w:val="18"/>
                <w:szCs w:val="18"/>
              </w:rPr>
              <w:t>①</w:t>
            </w:r>
            <w:r>
              <w:rPr>
                <w:rFonts w:ascii="仿宋" w:hAnsi="仿宋" w:eastAsia="仿宋"/>
                <w:kern w:val="0"/>
                <w:sz w:val="18"/>
                <w:szCs w:val="18"/>
              </w:rPr>
              <w:t>按规定内容公开预决算信息，1分；</w:t>
            </w:r>
            <w:r>
              <w:rPr>
                <w:rFonts w:hint="eastAsia" w:ascii="仿宋" w:hAnsi="仿宋" w:eastAsia="仿宋" w:cs="宋体"/>
                <w:kern w:val="0"/>
                <w:sz w:val="18"/>
                <w:szCs w:val="18"/>
              </w:rPr>
              <w:t>②</w:t>
            </w:r>
            <w:r>
              <w:rPr>
                <w:rFonts w:ascii="仿宋" w:hAnsi="仿宋" w:eastAsia="仿宋"/>
                <w:kern w:val="0"/>
                <w:sz w:val="18"/>
                <w:szCs w:val="18"/>
              </w:rPr>
              <w:t>按规定时限公开预决算信息，1分；</w:t>
            </w:r>
            <w:r>
              <w:rPr>
                <w:rFonts w:hint="eastAsia" w:ascii="仿宋" w:hAnsi="仿宋" w:eastAsia="仿宋" w:cs="宋体"/>
                <w:kern w:val="0"/>
                <w:sz w:val="18"/>
                <w:szCs w:val="18"/>
              </w:rPr>
              <w:t>③</w:t>
            </w:r>
            <w:r>
              <w:rPr>
                <w:rFonts w:ascii="仿宋" w:hAnsi="仿宋" w:eastAsia="仿宋"/>
                <w:kern w:val="0"/>
                <w:sz w:val="18"/>
                <w:szCs w:val="18"/>
              </w:rPr>
              <w:t>基础数据信息和会计信息资料真实，1分；</w:t>
            </w:r>
            <w:r>
              <w:rPr>
                <w:rFonts w:hint="eastAsia" w:ascii="仿宋" w:hAnsi="仿宋" w:eastAsia="仿宋" w:cs="宋体"/>
                <w:kern w:val="0"/>
                <w:sz w:val="18"/>
                <w:szCs w:val="18"/>
              </w:rPr>
              <w:t>④</w:t>
            </w:r>
            <w:r>
              <w:rPr>
                <w:rFonts w:ascii="仿宋" w:hAnsi="仿宋" w:eastAsia="仿宋"/>
                <w:kern w:val="0"/>
                <w:sz w:val="18"/>
                <w:szCs w:val="18"/>
              </w:rPr>
              <w:t>基础数据信息和会计信息资料完整，1分；</w:t>
            </w:r>
            <w:r>
              <w:rPr>
                <w:rFonts w:hint="eastAsia" w:ascii="仿宋" w:hAnsi="仿宋" w:eastAsia="仿宋" w:cs="宋体"/>
                <w:kern w:val="0"/>
                <w:sz w:val="18"/>
                <w:szCs w:val="18"/>
              </w:rPr>
              <w:t>⑤</w:t>
            </w:r>
            <w:r>
              <w:rPr>
                <w:rFonts w:ascii="仿宋" w:hAnsi="仿宋" w:eastAsia="仿宋"/>
                <w:kern w:val="0"/>
                <w:sz w:val="18"/>
                <w:szCs w:val="18"/>
              </w:rPr>
              <w:t xml:space="preserve">基础数据信息和汇集信息资料准确，1分。  </w:t>
            </w:r>
          </w:p>
        </w:tc>
        <w:tc>
          <w:tcPr>
            <w:tcW w:w="2943"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预决算信息是指与部门预算、执行、决算、监督、绩效等管理相关的信息。</w:t>
            </w:r>
          </w:p>
        </w:tc>
        <w:tc>
          <w:tcPr>
            <w:tcW w:w="498" w:type="dxa"/>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restart"/>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产出及效率</w:t>
            </w:r>
          </w:p>
        </w:tc>
        <w:tc>
          <w:tcPr>
            <w:tcW w:w="400" w:type="dxa"/>
            <w:vMerge w:val="restart"/>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30</w:t>
            </w:r>
          </w:p>
        </w:tc>
        <w:tc>
          <w:tcPr>
            <w:tcW w:w="478"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职责履行</w:t>
            </w:r>
          </w:p>
        </w:tc>
        <w:tc>
          <w:tcPr>
            <w:tcW w:w="396"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8</w:t>
            </w: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重点工作实际完成率</w:t>
            </w:r>
          </w:p>
        </w:tc>
        <w:tc>
          <w:tcPr>
            <w:tcW w:w="400"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8</w:t>
            </w:r>
          </w:p>
        </w:tc>
        <w:tc>
          <w:tcPr>
            <w:tcW w:w="2726"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根据绩效办201</w:t>
            </w:r>
            <w:r>
              <w:rPr>
                <w:rFonts w:hint="eastAsia" w:ascii="仿宋" w:hAnsi="仿宋" w:eastAsia="仿宋"/>
                <w:kern w:val="0"/>
                <w:sz w:val="18"/>
                <w:szCs w:val="18"/>
              </w:rPr>
              <w:t>9</w:t>
            </w:r>
            <w:r>
              <w:rPr>
                <w:rFonts w:ascii="仿宋" w:hAnsi="仿宋" w:eastAsia="仿宋"/>
                <w:kern w:val="0"/>
                <w:sz w:val="18"/>
                <w:szCs w:val="18"/>
              </w:rPr>
              <w:t>年对各部门为民办实事和部门重点工程与重点工作考核分数折算。</w:t>
            </w:r>
            <w:r>
              <w:rPr>
                <w:rFonts w:ascii="仿宋" w:hAnsi="仿宋" w:eastAsia="仿宋"/>
                <w:kern w:val="0"/>
                <w:sz w:val="18"/>
                <w:szCs w:val="18"/>
              </w:rPr>
              <w:br w:type="textWrapping"/>
            </w:r>
            <w:r>
              <w:rPr>
                <w:rFonts w:ascii="仿宋" w:hAnsi="仿宋" w:eastAsia="仿宋"/>
                <w:kern w:val="0"/>
                <w:sz w:val="18"/>
                <w:szCs w:val="18"/>
              </w:rPr>
              <w:t>该项得分=（绩效办对应部分考核得分/350）*8</w:t>
            </w:r>
          </w:p>
        </w:tc>
        <w:tc>
          <w:tcPr>
            <w:tcW w:w="2943"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　</w:t>
            </w:r>
          </w:p>
        </w:tc>
        <w:tc>
          <w:tcPr>
            <w:tcW w:w="498" w:type="dxa"/>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noWrap w:val="0"/>
            <w:vAlign w:val="center"/>
          </w:tcPr>
          <w:p>
            <w:pPr>
              <w:spacing w:line="280" w:lineRule="exact"/>
              <w:jc w:val="left"/>
              <w:rPr>
                <w:rFonts w:ascii="仿宋" w:hAnsi="仿宋" w:eastAsia="仿宋"/>
                <w:kern w:val="0"/>
                <w:sz w:val="18"/>
                <w:szCs w:val="18"/>
              </w:rPr>
            </w:pPr>
          </w:p>
        </w:tc>
        <w:tc>
          <w:tcPr>
            <w:tcW w:w="400" w:type="dxa"/>
            <w:vMerge w:val="continue"/>
            <w:noWrap w:val="0"/>
            <w:vAlign w:val="center"/>
          </w:tcPr>
          <w:p>
            <w:pPr>
              <w:spacing w:line="280" w:lineRule="exact"/>
              <w:jc w:val="left"/>
              <w:rPr>
                <w:rFonts w:ascii="仿宋" w:hAnsi="仿宋" w:eastAsia="仿宋"/>
                <w:kern w:val="0"/>
                <w:sz w:val="18"/>
                <w:szCs w:val="18"/>
              </w:rPr>
            </w:pPr>
          </w:p>
        </w:tc>
        <w:tc>
          <w:tcPr>
            <w:tcW w:w="478" w:type="dxa"/>
            <w:vMerge w:val="restart"/>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履职 效益</w:t>
            </w:r>
          </w:p>
        </w:tc>
        <w:tc>
          <w:tcPr>
            <w:tcW w:w="396" w:type="dxa"/>
            <w:vMerge w:val="restart"/>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10</w:t>
            </w: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经济</w:t>
            </w:r>
          </w:p>
          <w:p>
            <w:pPr>
              <w:spacing w:line="280" w:lineRule="exact"/>
              <w:jc w:val="center"/>
              <w:rPr>
                <w:rFonts w:ascii="仿宋" w:hAnsi="仿宋" w:eastAsia="仿宋"/>
                <w:kern w:val="0"/>
                <w:sz w:val="18"/>
                <w:szCs w:val="18"/>
              </w:rPr>
            </w:pPr>
            <w:r>
              <w:rPr>
                <w:rFonts w:ascii="仿宋" w:hAnsi="仿宋" w:eastAsia="仿宋"/>
                <w:kern w:val="0"/>
                <w:sz w:val="18"/>
                <w:szCs w:val="18"/>
              </w:rPr>
              <w:t>效益</w:t>
            </w:r>
          </w:p>
        </w:tc>
        <w:tc>
          <w:tcPr>
            <w:tcW w:w="400" w:type="dxa"/>
            <w:vMerge w:val="restart"/>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10</w:t>
            </w:r>
          </w:p>
        </w:tc>
        <w:tc>
          <w:tcPr>
            <w:tcW w:w="5669" w:type="dxa"/>
            <w:gridSpan w:val="2"/>
            <w:vMerge w:val="restart"/>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此两项指标为设置部门整体支出绩效评价指标时必须考虑的共性要素，可根据部门实际情况有选择的进行设置，并将其细化为相应的个性化指标。</w:t>
            </w:r>
          </w:p>
        </w:tc>
        <w:tc>
          <w:tcPr>
            <w:tcW w:w="498" w:type="dxa"/>
            <w:vMerge w:val="restart"/>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noWrap w:val="0"/>
            <w:vAlign w:val="center"/>
          </w:tcPr>
          <w:p>
            <w:pPr>
              <w:spacing w:line="280" w:lineRule="exact"/>
              <w:jc w:val="left"/>
              <w:rPr>
                <w:rFonts w:ascii="仿宋" w:hAnsi="仿宋" w:eastAsia="仿宋"/>
                <w:kern w:val="0"/>
                <w:sz w:val="18"/>
                <w:szCs w:val="18"/>
              </w:rPr>
            </w:pPr>
          </w:p>
        </w:tc>
        <w:tc>
          <w:tcPr>
            <w:tcW w:w="400" w:type="dxa"/>
            <w:vMerge w:val="continue"/>
            <w:noWrap w:val="0"/>
            <w:vAlign w:val="center"/>
          </w:tcPr>
          <w:p>
            <w:pPr>
              <w:spacing w:line="280" w:lineRule="exact"/>
              <w:jc w:val="left"/>
              <w:rPr>
                <w:rFonts w:ascii="仿宋" w:hAnsi="仿宋" w:eastAsia="仿宋"/>
                <w:kern w:val="0"/>
                <w:sz w:val="18"/>
                <w:szCs w:val="18"/>
              </w:rPr>
            </w:pPr>
          </w:p>
        </w:tc>
        <w:tc>
          <w:tcPr>
            <w:tcW w:w="478" w:type="dxa"/>
            <w:vMerge w:val="continue"/>
            <w:noWrap w:val="0"/>
            <w:vAlign w:val="center"/>
          </w:tcPr>
          <w:p>
            <w:pPr>
              <w:spacing w:line="280" w:lineRule="exact"/>
              <w:jc w:val="left"/>
              <w:rPr>
                <w:rFonts w:ascii="仿宋" w:hAnsi="仿宋" w:eastAsia="仿宋"/>
                <w:kern w:val="0"/>
                <w:sz w:val="18"/>
                <w:szCs w:val="18"/>
              </w:rPr>
            </w:pPr>
          </w:p>
        </w:tc>
        <w:tc>
          <w:tcPr>
            <w:tcW w:w="396" w:type="dxa"/>
            <w:vMerge w:val="continue"/>
            <w:noWrap w:val="0"/>
            <w:vAlign w:val="center"/>
          </w:tcPr>
          <w:p>
            <w:pPr>
              <w:spacing w:line="280" w:lineRule="exact"/>
              <w:jc w:val="left"/>
              <w:rPr>
                <w:rFonts w:ascii="仿宋" w:hAnsi="仿宋" w:eastAsia="仿宋"/>
                <w:kern w:val="0"/>
                <w:sz w:val="18"/>
                <w:szCs w:val="18"/>
              </w:rPr>
            </w:pP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社会</w:t>
            </w:r>
          </w:p>
          <w:p>
            <w:pPr>
              <w:spacing w:line="280" w:lineRule="exact"/>
              <w:jc w:val="center"/>
              <w:rPr>
                <w:rFonts w:ascii="仿宋" w:hAnsi="仿宋" w:eastAsia="仿宋"/>
                <w:kern w:val="0"/>
                <w:sz w:val="18"/>
                <w:szCs w:val="18"/>
              </w:rPr>
            </w:pPr>
            <w:r>
              <w:rPr>
                <w:rFonts w:ascii="仿宋" w:hAnsi="仿宋" w:eastAsia="仿宋"/>
                <w:kern w:val="0"/>
                <w:sz w:val="18"/>
                <w:szCs w:val="18"/>
              </w:rPr>
              <w:t>效益</w:t>
            </w:r>
          </w:p>
        </w:tc>
        <w:tc>
          <w:tcPr>
            <w:tcW w:w="400" w:type="dxa"/>
            <w:vMerge w:val="continue"/>
            <w:noWrap w:val="0"/>
            <w:vAlign w:val="center"/>
          </w:tcPr>
          <w:p>
            <w:pPr>
              <w:spacing w:line="280" w:lineRule="exact"/>
              <w:jc w:val="left"/>
              <w:rPr>
                <w:rFonts w:ascii="仿宋" w:hAnsi="仿宋" w:eastAsia="仿宋"/>
                <w:kern w:val="0"/>
                <w:sz w:val="18"/>
                <w:szCs w:val="18"/>
              </w:rPr>
            </w:pPr>
          </w:p>
        </w:tc>
        <w:tc>
          <w:tcPr>
            <w:tcW w:w="5669" w:type="dxa"/>
            <w:gridSpan w:val="2"/>
            <w:vMerge w:val="continue"/>
            <w:noWrap w:val="0"/>
            <w:vAlign w:val="center"/>
          </w:tcPr>
          <w:p>
            <w:pPr>
              <w:spacing w:line="280" w:lineRule="exact"/>
              <w:jc w:val="left"/>
              <w:rPr>
                <w:rFonts w:ascii="仿宋" w:hAnsi="仿宋" w:eastAsia="仿宋"/>
                <w:kern w:val="0"/>
                <w:sz w:val="18"/>
                <w:szCs w:val="18"/>
              </w:rPr>
            </w:pPr>
          </w:p>
        </w:tc>
        <w:tc>
          <w:tcPr>
            <w:tcW w:w="498" w:type="dxa"/>
            <w:vMerge w:val="continue"/>
            <w:noWrap w:val="0"/>
            <w:vAlign w:val="center"/>
          </w:tcPr>
          <w:p>
            <w:pPr>
              <w:spacing w:line="280" w:lineRule="exact"/>
              <w:jc w:val="left"/>
              <w:rPr>
                <w:rFonts w:ascii="仿宋" w:hAnsi="仿宋" w:eastAsia="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noWrap w:val="0"/>
            <w:vAlign w:val="center"/>
          </w:tcPr>
          <w:p>
            <w:pPr>
              <w:spacing w:line="280" w:lineRule="exact"/>
              <w:jc w:val="left"/>
              <w:rPr>
                <w:rFonts w:ascii="仿宋" w:hAnsi="仿宋" w:eastAsia="仿宋"/>
                <w:kern w:val="0"/>
                <w:sz w:val="18"/>
                <w:szCs w:val="18"/>
              </w:rPr>
            </w:pPr>
          </w:p>
        </w:tc>
        <w:tc>
          <w:tcPr>
            <w:tcW w:w="400" w:type="dxa"/>
            <w:vMerge w:val="continue"/>
            <w:noWrap w:val="0"/>
            <w:vAlign w:val="center"/>
          </w:tcPr>
          <w:p>
            <w:pPr>
              <w:spacing w:line="280" w:lineRule="exact"/>
              <w:jc w:val="left"/>
              <w:rPr>
                <w:rFonts w:ascii="仿宋" w:hAnsi="仿宋" w:eastAsia="仿宋"/>
                <w:kern w:val="0"/>
                <w:sz w:val="18"/>
                <w:szCs w:val="18"/>
              </w:rPr>
            </w:pPr>
          </w:p>
        </w:tc>
        <w:tc>
          <w:tcPr>
            <w:tcW w:w="478" w:type="dxa"/>
            <w:vMerge w:val="continue"/>
            <w:noWrap w:val="0"/>
            <w:vAlign w:val="center"/>
          </w:tcPr>
          <w:p>
            <w:pPr>
              <w:spacing w:line="280" w:lineRule="exact"/>
              <w:jc w:val="left"/>
              <w:rPr>
                <w:rFonts w:ascii="仿宋" w:hAnsi="仿宋" w:eastAsia="仿宋"/>
                <w:kern w:val="0"/>
                <w:sz w:val="18"/>
                <w:szCs w:val="18"/>
              </w:rPr>
            </w:pPr>
          </w:p>
        </w:tc>
        <w:tc>
          <w:tcPr>
            <w:tcW w:w="396" w:type="dxa"/>
            <w:vMerge w:val="restart"/>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12</w:t>
            </w: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行政</w:t>
            </w:r>
          </w:p>
          <w:p>
            <w:pPr>
              <w:spacing w:line="280" w:lineRule="exact"/>
              <w:jc w:val="center"/>
              <w:rPr>
                <w:rFonts w:ascii="仿宋" w:hAnsi="仿宋" w:eastAsia="仿宋"/>
                <w:kern w:val="0"/>
                <w:sz w:val="18"/>
                <w:szCs w:val="18"/>
              </w:rPr>
            </w:pPr>
            <w:r>
              <w:rPr>
                <w:rFonts w:ascii="仿宋" w:hAnsi="仿宋" w:eastAsia="仿宋"/>
                <w:kern w:val="0"/>
                <w:sz w:val="18"/>
                <w:szCs w:val="18"/>
              </w:rPr>
              <w:t>效能</w:t>
            </w:r>
          </w:p>
        </w:tc>
        <w:tc>
          <w:tcPr>
            <w:tcW w:w="400"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6</w:t>
            </w:r>
          </w:p>
        </w:tc>
        <w:tc>
          <w:tcPr>
            <w:tcW w:w="2726"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促进部门改进文风会风，加强经费及资产管理，推动网上办事，提高行政效率，降低行政成本效果较好的计6分；一般3分；无效果或者效果不明显0分。</w:t>
            </w:r>
          </w:p>
        </w:tc>
        <w:tc>
          <w:tcPr>
            <w:tcW w:w="2943"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根据部门自评材料评定。</w:t>
            </w:r>
          </w:p>
        </w:tc>
        <w:tc>
          <w:tcPr>
            <w:tcW w:w="498" w:type="dxa"/>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noWrap w:val="0"/>
            <w:vAlign w:val="center"/>
          </w:tcPr>
          <w:p>
            <w:pPr>
              <w:spacing w:line="280" w:lineRule="exact"/>
              <w:jc w:val="left"/>
              <w:rPr>
                <w:rFonts w:ascii="仿宋" w:hAnsi="仿宋" w:eastAsia="仿宋"/>
                <w:kern w:val="0"/>
                <w:sz w:val="18"/>
                <w:szCs w:val="18"/>
              </w:rPr>
            </w:pPr>
          </w:p>
        </w:tc>
        <w:tc>
          <w:tcPr>
            <w:tcW w:w="400" w:type="dxa"/>
            <w:vMerge w:val="continue"/>
            <w:noWrap w:val="0"/>
            <w:vAlign w:val="center"/>
          </w:tcPr>
          <w:p>
            <w:pPr>
              <w:spacing w:line="280" w:lineRule="exact"/>
              <w:jc w:val="left"/>
              <w:rPr>
                <w:rFonts w:ascii="仿宋" w:hAnsi="仿宋" w:eastAsia="仿宋"/>
                <w:kern w:val="0"/>
                <w:sz w:val="18"/>
                <w:szCs w:val="18"/>
              </w:rPr>
            </w:pPr>
          </w:p>
        </w:tc>
        <w:tc>
          <w:tcPr>
            <w:tcW w:w="478" w:type="dxa"/>
            <w:vMerge w:val="continue"/>
            <w:noWrap w:val="0"/>
            <w:vAlign w:val="center"/>
          </w:tcPr>
          <w:p>
            <w:pPr>
              <w:spacing w:line="280" w:lineRule="exact"/>
              <w:jc w:val="left"/>
              <w:rPr>
                <w:rFonts w:ascii="仿宋" w:hAnsi="仿宋" w:eastAsia="仿宋"/>
                <w:kern w:val="0"/>
                <w:sz w:val="18"/>
                <w:szCs w:val="18"/>
              </w:rPr>
            </w:pPr>
          </w:p>
        </w:tc>
        <w:tc>
          <w:tcPr>
            <w:tcW w:w="396" w:type="dxa"/>
            <w:vMerge w:val="continue"/>
            <w:noWrap w:val="0"/>
            <w:vAlign w:val="center"/>
          </w:tcPr>
          <w:p>
            <w:pPr>
              <w:spacing w:line="280" w:lineRule="exact"/>
              <w:jc w:val="left"/>
              <w:rPr>
                <w:rFonts w:ascii="仿宋" w:hAnsi="仿宋" w:eastAsia="仿宋"/>
                <w:kern w:val="0"/>
                <w:sz w:val="18"/>
                <w:szCs w:val="18"/>
              </w:rPr>
            </w:pPr>
          </w:p>
        </w:tc>
        <w:tc>
          <w:tcPr>
            <w:tcW w:w="697"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社会公众或服务对象满意度</w:t>
            </w:r>
          </w:p>
        </w:tc>
        <w:tc>
          <w:tcPr>
            <w:tcW w:w="400" w:type="dxa"/>
            <w:noWrap w:val="0"/>
            <w:vAlign w:val="center"/>
          </w:tcPr>
          <w:p>
            <w:pPr>
              <w:spacing w:line="280" w:lineRule="exact"/>
              <w:jc w:val="center"/>
              <w:rPr>
                <w:rFonts w:ascii="仿宋" w:hAnsi="仿宋" w:eastAsia="仿宋"/>
                <w:kern w:val="0"/>
                <w:sz w:val="18"/>
                <w:szCs w:val="18"/>
              </w:rPr>
            </w:pPr>
            <w:r>
              <w:rPr>
                <w:rFonts w:ascii="仿宋" w:hAnsi="仿宋" w:eastAsia="仿宋"/>
                <w:kern w:val="0"/>
                <w:sz w:val="18"/>
                <w:szCs w:val="18"/>
              </w:rPr>
              <w:t>6</w:t>
            </w:r>
          </w:p>
        </w:tc>
        <w:tc>
          <w:tcPr>
            <w:tcW w:w="2726"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90%（含）以上计6分；</w:t>
            </w:r>
            <w:r>
              <w:rPr>
                <w:rFonts w:ascii="仿宋" w:hAnsi="仿宋" w:eastAsia="仿宋"/>
                <w:kern w:val="0"/>
                <w:sz w:val="18"/>
                <w:szCs w:val="18"/>
              </w:rPr>
              <w:br w:type="textWrapping"/>
            </w:r>
            <w:r>
              <w:rPr>
                <w:rFonts w:ascii="仿宋" w:hAnsi="仿宋" w:eastAsia="仿宋"/>
                <w:kern w:val="0"/>
                <w:sz w:val="18"/>
                <w:szCs w:val="18"/>
              </w:rPr>
              <w:t>80%（含）-90%，计4分；</w:t>
            </w:r>
            <w:r>
              <w:rPr>
                <w:rFonts w:ascii="仿宋" w:hAnsi="仿宋" w:eastAsia="仿宋"/>
                <w:kern w:val="0"/>
                <w:sz w:val="18"/>
                <w:szCs w:val="18"/>
              </w:rPr>
              <w:br w:type="textWrapping"/>
            </w:r>
            <w:r>
              <w:rPr>
                <w:rFonts w:ascii="仿宋" w:hAnsi="仿宋" w:eastAsia="仿宋"/>
                <w:kern w:val="0"/>
                <w:sz w:val="18"/>
                <w:szCs w:val="18"/>
              </w:rPr>
              <w:t>70%（含）-80%，计2分；</w:t>
            </w:r>
            <w:r>
              <w:rPr>
                <w:rFonts w:ascii="仿宋" w:hAnsi="仿宋" w:eastAsia="仿宋"/>
                <w:kern w:val="0"/>
                <w:sz w:val="18"/>
                <w:szCs w:val="18"/>
              </w:rPr>
              <w:br w:type="textWrapping"/>
            </w:r>
            <w:r>
              <w:rPr>
                <w:rFonts w:ascii="仿宋" w:hAnsi="仿宋" w:eastAsia="仿宋"/>
                <w:kern w:val="0"/>
                <w:sz w:val="18"/>
                <w:szCs w:val="18"/>
              </w:rPr>
              <w:t>低于70%计0分。</w:t>
            </w:r>
          </w:p>
        </w:tc>
        <w:tc>
          <w:tcPr>
            <w:tcW w:w="2943" w:type="dxa"/>
            <w:noWrap w:val="0"/>
            <w:vAlign w:val="center"/>
          </w:tcPr>
          <w:p>
            <w:pPr>
              <w:spacing w:line="280" w:lineRule="exact"/>
              <w:jc w:val="left"/>
              <w:rPr>
                <w:rFonts w:ascii="仿宋" w:hAnsi="仿宋" w:eastAsia="仿宋"/>
                <w:kern w:val="0"/>
                <w:sz w:val="18"/>
                <w:szCs w:val="18"/>
              </w:rPr>
            </w:pPr>
            <w:r>
              <w:rPr>
                <w:rFonts w:ascii="仿宋" w:hAnsi="仿宋" w:eastAsia="仿宋"/>
                <w:kern w:val="0"/>
                <w:sz w:val="18"/>
                <w:szCs w:val="18"/>
              </w:rPr>
              <w:t>社会公众或服务对象是指部门（单位）履行职责而影响到的部门、群体或个人，一般采取社会调查的方式。</w:t>
            </w:r>
          </w:p>
        </w:tc>
        <w:tc>
          <w:tcPr>
            <w:tcW w:w="498" w:type="dxa"/>
            <w:noWrap w:val="0"/>
            <w:vAlign w:val="center"/>
          </w:tcPr>
          <w:p>
            <w:pPr>
              <w:spacing w:line="280" w:lineRule="exact"/>
              <w:jc w:val="left"/>
              <w:rPr>
                <w:rFonts w:hint="eastAsia" w:ascii="仿宋" w:hAnsi="仿宋" w:eastAsia="仿宋"/>
                <w:kern w:val="0"/>
                <w:sz w:val="18"/>
                <w:szCs w:val="18"/>
                <w:lang w:val="en-US" w:eastAsia="zh-CN"/>
              </w:rPr>
            </w:pPr>
            <w:r>
              <w:rPr>
                <w:rFonts w:ascii="仿宋" w:hAnsi="仿宋" w:eastAsia="仿宋"/>
                <w:kern w:val="0"/>
                <w:sz w:val="18"/>
                <w:szCs w:val="18"/>
              </w:rPr>
              <w:t>　</w:t>
            </w:r>
            <w:r>
              <w:rPr>
                <w:rFonts w:hint="eastAsia" w:ascii="仿宋" w:hAnsi="仿宋" w:eastAsia="仿宋"/>
                <w:kern w:val="0"/>
                <w:sz w:val="18"/>
                <w:szCs w:val="18"/>
                <w:lang w:val="en-US" w:eastAsia="zh-CN"/>
              </w:rPr>
              <w:t>6</w:t>
            </w:r>
          </w:p>
        </w:tc>
      </w:tr>
    </w:tbl>
    <w:p>
      <w:pPr>
        <w:jc w:val="left"/>
        <w:rPr>
          <w:rFonts w:hint="eastAsia" w:ascii="楷体" w:hAnsi="楷体" w:eastAsia="楷体"/>
          <w:sz w:val="30"/>
          <w:szCs w:val="30"/>
          <w:highlight w:val="none"/>
          <w:lang w:val="en-US" w:eastAsia="zh-CN"/>
        </w:rPr>
      </w:pP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其他重要事项情况说明：无</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widowControl/>
        <w:snapToGrid w:val="0"/>
        <w:spacing w:before="100" w:after="100" w:line="360" w:lineRule="auto"/>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无</w:t>
      </w:r>
    </w:p>
    <w:p>
      <w:pPr>
        <w:jc w:val="center"/>
        <w:rPr>
          <w:rFonts w:hint="eastAsia" w:ascii="黑体" w:hAnsi="黑体" w:eastAsia="黑体"/>
          <w:sz w:val="32"/>
          <w:szCs w:val="32"/>
        </w:rPr>
      </w:pPr>
    </w:p>
    <w:p>
      <w:pPr>
        <w:jc w:val="center"/>
        <w:rPr>
          <w:rFonts w:hint="eastAsia" w:ascii="黑体" w:hAnsi="黑体" w:eastAsia="黑体"/>
          <w:sz w:val="32"/>
          <w:szCs w:val="32"/>
        </w:rPr>
      </w:pPr>
      <w:bookmarkStart w:id="0" w:name="_GoBack"/>
      <w:bookmarkEnd w:id="0"/>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F15F2"/>
    <w:rsid w:val="5CC3004C"/>
    <w:rsid w:val="66EA3E06"/>
    <w:rsid w:val="72AF15F2"/>
    <w:rsid w:val="7AD915D3"/>
    <w:rsid w:val="7E6D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2020-09-04T02:16:00Z</dcterms:created>
  <dc:creator>Vanellope von Schweetz</dc:creator>
  <cp:lastModifiedBy>Vanellope von Schweetz</cp:lastModifiedBy>
  <dcterms:modified xsi:type="dcterms:W3CDTF">2020-09-07T08:38:00Z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