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监督索引号53340000433301000</w:t>
      </w:r>
    </w:p>
    <w:p>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lang w:eastAsia="zh-CN"/>
        </w:rPr>
        <w:t>云南省迪庆州水务局</w:t>
      </w:r>
      <w:r>
        <w:rPr>
          <w:rFonts w:ascii="方正小标宋简体" w:eastAsia="方正小标宋简体" w:hAnsi="方正小标宋简体" w:cs="方正小标宋简体" w:hint="eastAsia"/>
          <w:sz w:val="36"/>
          <w:szCs w:val="36"/>
          <w:lang w:val="en-US" w:eastAsia="zh-CN"/>
        </w:rPr>
        <w:t>2019</w:t>
      </w:r>
      <w:r>
        <w:rPr>
          <w:rFonts w:ascii="方正小标宋简体" w:eastAsia="方正小标宋简体" w:hAnsi="方正小标宋简体" w:cs="方正小标宋简体" w:hint="eastAsia"/>
          <w:sz w:val="36"/>
          <w:szCs w:val="36"/>
        </w:rPr>
        <w:t>年度部门决算</w:t>
      </w:r>
    </w:p>
    <w:p>
      <w:pPr>
        <w:jc w:val="left"/>
        <w:rPr>
          <w:rFonts w:ascii="黑体" w:eastAsia="黑体" w:hAnsi="黑体" w:hint="eastAsia"/>
          <w:sz w:val="30"/>
          <w:szCs w:val="30"/>
          <w:lang w:val="en-US" w:eastAsia="zh-CN"/>
        </w:rPr>
      </w:pPr>
      <w:r>
        <w:rPr>
          <w:rFonts w:ascii="黑体" w:eastAsia="黑体" w:hAnsi="黑体" w:hint="eastAsia"/>
          <w:sz w:val="30"/>
          <w:szCs w:val="30"/>
          <w:lang w:val="en-US" w:eastAsia="zh-CN"/>
        </w:rPr>
        <w:t xml:space="preserve">                         </w:t>
      </w:r>
    </w:p>
    <w:p>
      <w:pPr>
        <w:jc w:val="center"/>
        <w:rPr>
          <w:rFonts w:ascii="黑体" w:eastAsia="黑体" w:hAnsi="黑体" w:hint="eastAsia"/>
          <w:sz w:val="32"/>
          <w:szCs w:val="32"/>
          <w:highlight w:val="none"/>
          <w:lang w:val="en-US" w:eastAsia="zh-CN"/>
        </w:rPr>
      </w:pPr>
      <w:r>
        <w:rPr>
          <w:rFonts w:ascii="黑体" w:eastAsia="黑体" w:hAnsi="黑体" w:hint="eastAsia"/>
          <w:sz w:val="32"/>
          <w:szCs w:val="32"/>
          <w:highlight w:val="none"/>
          <w:lang w:val="en-US" w:eastAsia="zh-CN"/>
        </w:rPr>
        <w:t>目录</w:t>
      </w:r>
    </w:p>
    <w:p>
      <w:pPr>
        <w:jc w:val="left"/>
        <w:rPr>
          <w:rFonts w:ascii="黑体" w:eastAsia="黑体" w:hAnsi="黑体" w:hint="eastAsia"/>
          <w:sz w:val="30"/>
          <w:szCs w:val="30"/>
        </w:rPr>
      </w:pPr>
      <w:r>
        <w:rPr>
          <w:rFonts w:ascii="黑体" w:eastAsia="黑体" w:hAnsi="黑体" w:hint="eastAsia"/>
          <w:sz w:val="30"/>
          <w:szCs w:val="30"/>
        </w:rPr>
        <w:t xml:space="preserve">第一部分  </w:t>
      </w:r>
      <w:r>
        <w:rPr>
          <w:rFonts w:ascii="黑体" w:eastAsia="黑体" w:hAnsi="黑体" w:hint="eastAsia"/>
          <w:sz w:val="30"/>
          <w:szCs w:val="30"/>
          <w:lang w:eastAsia="zh-CN"/>
        </w:rPr>
        <w:t>云南省迪庆州水务局</w:t>
      </w:r>
      <w:r>
        <w:rPr>
          <w:rFonts w:ascii="黑体" w:eastAsia="黑体" w:hAnsi="黑体" w:hint="eastAsia"/>
          <w:sz w:val="30"/>
          <w:szCs w:val="30"/>
        </w:rPr>
        <w:t>概况</w:t>
      </w:r>
    </w:p>
    <w:p>
      <w:pPr>
        <w:spacing w:line="240" w:lineRule="atLeast"/>
        <w:jc w:val="left"/>
        <w:rPr>
          <w:rFonts w:ascii="楷体" w:eastAsia="楷体" w:hAnsi="楷体" w:hint="eastAsia"/>
          <w:sz w:val="30"/>
          <w:szCs w:val="30"/>
        </w:rPr>
      </w:pPr>
      <w:r>
        <w:rPr>
          <w:rFonts w:ascii="楷体" w:eastAsia="楷体" w:hAnsi="楷体" w:hint="eastAsia"/>
          <w:sz w:val="30"/>
          <w:szCs w:val="30"/>
        </w:rPr>
        <w:t>一、主要职能</w:t>
      </w:r>
    </w:p>
    <w:p>
      <w:pPr>
        <w:spacing w:line="240" w:lineRule="atLeast"/>
        <w:jc w:val="left"/>
        <w:rPr>
          <w:rFonts w:ascii="楷体" w:eastAsia="楷体" w:hAnsi="楷体" w:hint="eastAsia"/>
          <w:sz w:val="30"/>
          <w:szCs w:val="30"/>
        </w:rPr>
      </w:pPr>
      <w:r>
        <w:rPr>
          <w:rFonts w:ascii="楷体" w:eastAsia="楷体" w:hAnsi="楷体" w:hint="eastAsia"/>
          <w:sz w:val="30"/>
          <w:szCs w:val="30"/>
        </w:rPr>
        <w:t>二、部门基本情况</w:t>
      </w:r>
    </w:p>
    <w:p>
      <w:pPr>
        <w:jc w:val="left"/>
        <w:rPr>
          <w:rFonts w:ascii="黑体" w:eastAsia="黑体" w:hAnsi="黑体" w:hint="eastAsia"/>
          <w:sz w:val="30"/>
          <w:szCs w:val="30"/>
        </w:rPr>
      </w:pPr>
      <w:r>
        <w:rPr>
          <w:rFonts w:ascii="黑体" w:eastAsia="黑体" w:hAnsi="黑体" w:hint="eastAsia"/>
          <w:sz w:val="30"/>
          <w:szCs w:val="30"/>
        </w:rPr>
        <w:t xml:space="preserve">第二部分  </w:t>
      </w:r>
      <w:r>
        <w:rPr>
          <w:rFonts w:ascii="黑体" w:eastAsia="黑体" w:hAnsi="黑体" w:hint="eastAsia"/>
          <w:sz w:val="30"/>
          <w:szCs w:val="30"/>
          <w:lang w:val="en-US" w:eastAsia="zh-CN"/>
        </w:rPr>
        <w:t>2019</w:t>
      </w:r>
      <w:r>
        <w:rPr>
          <w:rFonts w:ascii="黑体" w:eastAsia="黑体" w:hAnsi="黑体" w:hint="eastAsia"/>
          <w:sz w:val="30"/>
          <w:szCs w:val="30"/>
        </w:rPr>
        <w:t>年度部门决算表</w:t>
      </w:r>
    </w:p>
    <w:p>
      <w:pPr>
        <w:jc w:val="left"/>
        <w:rPr>
          <w:rFonts w:ascii="楷体" w:eastAsia="楷体" w:hAnsi="楷体" w:hint="eastAsia"/>
          <w:sz w:val="30"/>
          <w:szCs w:val="30"/>
        </w:rPr>
      </w:pPr>
      <w:r>
        <w:rPr>
          <w:rFonts w:ascii="楷体" w:eastAsia="楷体" w:hAnsi="楷体" w:hint="eastAsia"/>
          <w:sz w:val="30"/>
          <w:szCs w:val="30"/>
        </w:rPr>
        <w:t>一、收入支出决算总表</w:t>
      </w:r>
    </w:p>
    <w:p>
      <w:pPr>
        <w:jc w:val="left"/>
        <w:rPr>
          <w:rFonts w:ascii="楷体" w:eastAsia="楷体" w:hAnsi="楷体" w:hint="eastAsia"/>
          <w:sz w:val="30"/>
          <w:szCs w:val="30"/>
        </w:rPr>
      </w:pPr>
      <w:r>
        <w:rPr>
          <w:rFonts w:ascii="楷体" w:eastAsia="楷体" w:hAnsi="楷体" w:hint="eastAsia"/>
          <w:sz w:val="30"/>
          <w:szCs w:val="30"/>
        </w:rPr>
        <w:t>二、收入决算表</w:t>
      </w:r>
    </w:p>
    <w:p>
      <w:pPr>
        <w:jc w:val="left"/>
        <w:rPr>
          <w:rFonts w:ascii="楷体" w:eastAsia="楷体" w:hAnsi="楷体" w:hint="eastAsia"/>
          <w:sz w:val="30"/>
          <w:szCs w:val="30"/>
        </w:rPr>
      </w:pPr>
      <w:r>
        <w:rPr>
          <w:rFonts w:ascii="楷体" w:eastAsia="楷体" w:hAnsi="楷体" w:hint="eastAsia"/>
          <w:sz w:val="30"/>
          <w:szCs w:val="30"/>
        </w:rPr>
        <w:t>三、支出决算表</w:t>
      </w:r>
    </w:p>
    <w:p>
      <w:pPr>
        <w:jc w:val="left"/>
        <w:rPr>
          <w:rFonts w:ascii="楷体" w:eastAsia="楷体" w:hAnsi="楷体" w:hint="eastAsia"/>
          <w:sz w:val="30"/>
          <w:szCs w:val="30"/>
        </w:rPr>
      </w:pPr>
      <w:r>
        <w:rPr>
          <w:rFonts w:ascii="楷体" w:eastAsia="楷体" w:hAnsi="楷体" w:hint="eastAsia"/>
          <w:sz w:val="30"/>
          <w:szCs w:val="30"/>
        </w:rPr>
        <w:t>四、财政拨款收入支出决算总表</w:t>
      </w:r>
    </w:p>
    <w:p>
      <w:pPr>
        <w:jc w:val="left"/>
        <w:rPr>
          <w:rFonts w:ascii="楷体" w:eastAsia="楷体" w:hAnsi="楷体" w:hint="eastAsia"/>
          <w:sz w:val="30"/>
          <w:szCs w:val="30"/>
        </w:rPr>
      </w:pPr>
      <w:r>
        <w:rPr>
          <w:rFonts w:ascii="楷体" w:eastAsia="楷体" w:hAnsi="楷体" w:hint="eastAsia"/>
          <w:sz w:val="30"/>
          <w:szCs w:val="30"/>
        </w:rPr>
        <w:t>五、一般公共预算财政拨款收入支出决算表</w:t>
      </w:r>
    </w:p>
    <w:p>
      <w:pPr>
        <w:jc w:val="left"/>
        <w:rPr>
          <w:rFonts w:ascii="楷体" w:eastAsia="楷体" w:hAnsi="楷体" w:hint="eastAsia"/>
          <w:sz w:val="30"/>
          <w:szCs w:val="30"/>
        </w:rPr>
      </w:pPr>
      <w:r>
        <w:rPr>
          <w:rFonts w:ascii="楷体" w:eastAsia="楷体" w:hAnsi="楷体" w:hint="eastAsia"/>
          <w:sz w:val="30"/>
          <w:szCs w:val="30"/>
        </w:rPr>
        <w:t>六、一般公共预算财政拨款基本支出决算表</w:t>
      </w:r>
    </w:p>
    <w:p>
      <w:pPr>
        <w:jc w:val="left"/>
        <w:rPr>
          <w:rFonts w:ascii="楷体" w:eastAsia="楷体" w:hAnsi="楷体" w:hint="eastAsia"/>
          <w:sz w:val="30"/>
          <w:szCs w:val="30"/>
        </w:rPr>
      </w:pPr>
      <w:r>
        <w:rPr>
          <w:rFonts w:ascii="楷体" w:eastAsia="楷体" w:hAnsi="楷体" w:hint="eastAsia"/>
          <w:sz w:val="30"/>
          <w:szCs w:val="30"/>
        </w:rPr>
        <w:t>七、政府性基金预算财政拨款收入支出决算表</w:t>
      </w:r>
    </w:p>
    <w:p>
      <w:pPr>
        <w:jc w:val="left"/>
        <w:rPr>
          <w:rFonts w:ascii="楷体" w:eastAsia="楷体" w:hAnsi="楷体" w:hint="eastAsia"/>
          <w:sz w:val="30"/>
          <w:szCs w:val="30"/>
        </w:rPr>
      </w:pPr>
      <w:r>
        <w:rPr>
          <w:rFonts w:ascii="楷体" w:eastAsia="楷体" w:hAnsi="楷体" w:hint="eastAsia"/>
          <w:sz w:val="30"/>
          <w:szCs w:val="30"/>
        </w:rPr>
        <w:t>八、“三公”经费、行政参公单位机关运行经费情况表</w:t>
      </w:r>
    </w:p>
    <w:p>
      <w:pPr>
        <w:jc w:val="left"/>
        <w:rPr>
          <w:rFonts w:ascii="黑体" w:eastAsia="黑体" w:hAnsi="黑体" w:hint="eastAsia"/>
          <w:sz w:val="30"/>
          <w:szCs w:val="30"/>
        </w:rPr>
      </w:pPr>
      <w:r>
        <w:rPr>
          <w:rFonts w:ascii="黑体" w:eastAsia="黑体" w:hAnsi="黑体" w:hint="eastAsia"/>
          <w:sz w:val="30"/>
          <w:szCs w:val="30"/>
        </w:rPr>
        <w:t>第三部</w:t>
      </w:r>
      <w:r>
        <w:rPr>
          <w:rFonts w:ascii="黑体" w:eastAsia="黑体" w:hAnsi="黑体" w:hint="eastAsia"/>
          <w:sz w:val="30"/>
          <w:szCs w:val="30"/>
          <w:lang w:eastAsia="zh-CN"/>
        </w:rPr>
        <w:t>分</w:t>
      </w:r>
      <w:r>
        <w:rPr>
          <w:rFonts w:ascii="黑体" w:eastAsia="黑体" w:hAnsi="黑体" w:hint="eastAsia"/>
          <w:sz w:val="30"/>
          <w:szCs w:val="30"/>
        </w:rPr>
        <w:t xml:space="preserve">  </w:t>
      </w:r>
      <w:r>
        <w:rPr>
          <w:rFonts w:ascii="黑体" w:eastAsia="黑体" w:hAnsi="黑体" w:hint="eastAsia"/>
          <w:sz w:val="30"/>
          <w:szCs w:val="30"/>
          <w:lang w:val="en-US" w:eastAsia="zh-CN"/>
        </w:rPr>
        <w:t>2019</w:t>
      </w:r>
      <w:r>
        <w:rPr>
          <w:rFonts w:ascii="黑体" w:eastAsia="黑体" w:hAnsi="黑体" w:hint="eastAsia"/>
          <w:sz w:val="30"/>
          <w:szCs w:val="30"/>
        </w:rPr>
        <w:t>年度部门决算情况说明</w:t>
      </w:r>
    </w:p>
    <w:p>
      <w:pPr>
        <w:jc w:val="left"/>
        <w:rPr>
          <w:rFonts w:ascii="楷体" w:eastAsia="楷体" w:hAnsi="楷体" w:hint="eastAsia"/>
          <w:sz w:val="30"/>
          <w:szCs w:val="30"/>
        </w:rPr>
      </w:pPr>
      <w:r>
        <w:rPr>
          <w:rFonts w:ascii="楷体" w:eastAsia="楷体" w:hAnsi="楷体" w:hint="eastAsia"/>
          <w:sz w:val="30"/>
          <w:szCs w:val="30"/>
        </w:rPr>
        <w:t>一、收入决算情况说明</w:t>
      </w:r>
    </w:p>
    <w:p>
      <w:pPr>
        <w:jc w:val="left"/>
        <w:rPr>
          <w:rFonts w:ascii="楷体" w:eastAsia="楷体" w:hAnsi="楷体" w:hint="eastAsia"/>
          <w:sz w:val="30"/>
          <w:szCs w:val="30"/>
        </w:rPr>
      </w:pPr>
      <w:r>
        <w:rPr>
          <w:rFonts w:ascii="楷体" w:eastAsia="楷体" w:hAnsi="楷体" w:hint="eastAsia"/>
          <w:sz w:val="30"/>
          <w:szCs w:val="30"/>
        </w:rPr>
        <w:t>二、支出决算情况说明</w:t>
      </w:r>
    </w:p>
    <w:p>
      <w:pPr>
        <w:jc w:val="left"/>
        <w:rPr>
          <w:rFonts w:ascii="楷体" w:eastAsia="楷体" w:hAnsi="楷体" w:hint="eastAsia"/>
          <w:sz w:val="30"/>
          <w:szCs w:val="30"/>
        </w:rPr>
      </w:pPr>
      <w:r>
        <w:rPr>
          <w:rFonts w:ascii="楷体" w:eastAsia="楷体" w:hAnsi="楷体" w:hint="eastAsia"/>
          <w:sz w:val="30"/>
          <w:szCs w:val="30"/>
        </w:rPr>
        <w:t>三、一般公共预算财政拨款支出决算情况说明</w:t>
      </w:r>
    </w:p>
    <w:p>
      <w:pPr>
        <w:widowControl/>
        <w:snapToGrid w:val="0"/>
        <w:spacing w:before="100" w:after="100" w:line="360" w:lineRule="auto"/>
        <w:jc w:val="left"/>
        <w:rPr>
          <w:rFonts w:ascii="楷体" w:eastAsia="楷体" w:hAnsi="楷体" w:hint="eastAsia"/>
          <w:sz w:val="30"/>
          <w:szCs w:val="30"/>
        </w:rPr>
      </w:pPr>
      <w:r>
        <w:rPr>
          <w:rFonts w:ascii="楷体" w:eastAsia="楷体" w:hAnsi="楷体" w:hint="eastAsia"/>
          <w:sz w:val="30"/>
          <w:szCs w:val="30"/>
        </w:rPr>
        <w:t>四、一般公共预算财政拨款“三公”经费支出决算情况说明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lang w:eastAsia="zh-CN"/>
        </w:rPr>
        <w:t>第四部分</w:t>
      </w:r>
      <w:r>
        <w:rPr>
          <w:rFonts w:ascii="楷体" w:eastAsia="楷体" w:hAnsi="楷体" w:hint="eastAsia"/>
          <w:sz w:val="30"/>
          <w:szCs w:val="30"/>
          <w:lang w:val="en-US" w:eastAsia="zh-CN"/>
        </w:rPr>
        <w:t xml:space="preserve">  </w:t>
      </w:r>
      <w:r>
        <w:rPr>
          <w:rFonts w:ascii="黑体" w:eastAsia="黑体" w:hAnsi="黑体" w:hint="eastAsia"/>
          <w:sz w:val="30"/>
          <w:szCs w:val="30"/>
        </w:rPr>
        <w:t>其他重要事项及相关口径情况说明</w:t>
      </w:r>
    </w:p>
    <w:p>
      <w:pPr>
        <w:jc w:val="left"/>
        <w:rPr>
          <w:rFonts w:ascii="楷体" w:eastAsia="楷体" w:hAnsi="楷体" w:hint="eastAsia"/>
          <w:sz w:val="30"/>
          <w:szCs w:val="30"/>
          <w:lang w:eastAsia="zh-CN"/>
        </w:rPr>
      </w:pPr>
      <w:r>
        <w:rPr>
          <w:rFonts w:ascii="楷体" w:eastAsia="楷体" w:hAnsi="楷体" w:hint="eastAsia"/>
          <w:sz w:val="30"/>
          <w:szCs w:val="30"/>
          <w:lang w:eastAsia="zh-CN"/>
        </w:rPr>
        <w:t>一、</w:t>
      </w:r>
      <w:r>
        <w:rPr>
          <w:rFonts w:ascii="楷体" w:eastAsia="楷体" w:hAnsi="楷体" w:hint="eastAsia"/>
          <w:sz w:val="30"/>
          <w:szCs w:val="30"/>
        </w:rPr>
        <w:t>机关运行经费支出情况</w:t>
      </w:r>
    </w:p>
    <w:p>
      <w:pPr>
        <w:jc w:val="left"/>
        <w:rPr>
          <w:rFonts w:ascii="楷体" w:eastAsia="楷体" w:hAnsi="楷体" w:hint="eastAsia"/>
          <w:sz w:val="30"/>
          <w:szCs w:val="30"/>
          <w:lang w:eastAsia="zh-CN"/>
        </w:rPr>
      </w:pPr>
      <w:r>
        <w:rPr>
          <w:rFonts w:ascii="楷体" w:eastAsia="楷体" w:hAnsi="楷体" w:hint="eastAsia"/>
          <w:sz w:val="30"/>
          <w:szCs w:val="30"/>
          <w:lang w:eastAsia="zh-CN"/>
        </w:rPr>
        <w:t>二、</w:t>
      </w:r>
      <w:r>
        <w:rPr>
          <w:rFonts w:ascii="楷体" w:eastAsia="楷体" w:hAnsi="楷体" w:hint="eastAsia"/>
          <w:sz w:val="30"/>
          <w:szCs w:val="30"/>
        </w:rPr>
        <w:t>国有资产占用情况</w:t>
      </w:r>
    </w:p>
    <w:p>
      <w:pPr>
        <w:jc w:val="left"/>
        <w:rPr>
          <w:rFonts w:ascii="楷体" w:eastAsia="楷体" w:hAnsi="楷体" w:hint="eastAsia"/>
          <w:sz w:val="30"/>
          <w:szCs w:val="30"/>
          <w:lang w:eastAsia="zh-CN"/>
        </w:rPr>
      </w:pPr>
      <w:r>
        <w:rPr>
          <w:rFonts w:ascii="楷体" w:eastAsia="楷体" w:hAnsi="楷体" w:hint="eastAsia"/>
          <w:sz w:val="30"/>
          <w:szCs w:val="30"/>
          <w:lang w:eastAsia="zh-CN"/>
        </w:rPr>
        <w:t>三、</w:t>
      </w:r>
      <w:r>
        <w:rPr>
          <w:rFonts w:ascii="楷体" w:eastAsia="楷体" w:hAnsi="楷体" w:hint="eastAsia"/>
          <w:sz w:val="30"/>
          <w:szCs w:val="30"/>
        </w:rPr>
        <w:t>政府采购支出情况</w:t>
      </w:r>
    </w:p>
    <w:p>
      <w:pPr>
        <w:jc w:val="left"/>
        <w:rPr>
          <w:rFonts w:ascii="楷体" w:eastAsia="楷体" w:hAnsi="楷体" w:hint="eastAsia"/>
          <w:sz w:val="30"/>
          <w:szCs w:val="30"/>
          <w:highlight w:val="none"/>
          <w:lang w:val="en-US" w:eastAsia="zh-CN"/>
        </w:rPr>
      </w:pPr>
      <w:r>
        <w:rPr>
          <w:rFonts w:ascii="楷体" w:eastAsia="楷体" w:hAnsi="楷体" w:hint="eastAsia"/>
          <w:sz w:val="30"/>
          <w:szCs w:val="30"/>
          <w:highlight w:val="none"/>
          <w:lang w:eastAsia="zh-CN"/>
        </w:rPr>
        <w:t>四、</w:t>
      </w:r>
      <w:r>
        <w:rPr>
          <w:rFonts w:ascii="楷体" w:eastAsia="楷体" w:hAnsi="楷体" w:hint="eastAsia"/>
          <w:sz w:val="30"/>
          <w:szCs w:val="30"/>
          <w:highlight w:val="none"/>
          <w:lang w:val="en-US" w:eastAsia="zh-CN"/>
        </w:rPr>
        <w:t>部门绩效自评情况</w:t>
      </w:r>
    </w:p>
    <w:p>
      <w:pPr>
        <w:jc w:val="left"/>
        <w:rPr>
          <w:rFonts w:ascii="楷体" w:eastAsia="楷体" w:hAnsi="楷体" w:hint="eastAsia"/>
          <w:sz w:val="30"/>
          <w:szCs w:val="30"/>
          <w:highlight w:val="none"/>
          <w:lang w:val="en-US" w:eastAsia="zh-CN"/>
        </w:rPr>
      </w:pPr>
      <w:r>
        <w:rPr>
          <w:rFonts w:ascii="楷体" w:eastAsia="楷体" w:hAnsi="楷体" w:hint="eastAsia"/>
          <w:sz w:val="30"/>
          <w:szCs w:val="30"/>
          <w:highlight w:val="none"/>
          <w:lang w:val="en-US" w:eastAsia="zh-CN"/>
        </w:rPr>
        <w:t>（一）项目支出绩效自评/项目支出绩效自评报告（表）</w:t>
      </w:r>
    </w:p>
    <w:p>
      <w:pPr>
        <w:jc w:val="left"/>
        <w:rPr>
          <w:rFonts w:ascii="楷体" w:eastAsia="楷体" w:hAnsi="楷体" w:hint="eastAsia"/>
          <w:sz w:val="30"/>
          <w:szCs w:val="30"/>
          <w:highlight w:val="none"/>
          <w:lang w:val="en-US" w:eastAsia="zh-CN"/>
        </w:rPr>
      </w:pPr>
      <w:r>
        <w:rPr>
          <w:rFonts w:ascii="楷体" w:eastAsia="楷体" w:hAnsi="楷体" w:hint="eastAsia"/>
          <w:sz w:val="30"/>
          <w:szCs w:val="30"/>
          <w:highlight w:val="none"/>
          <w:lang w:val="en-US" w:eastAsia="zh-CN"/>
        </w:rPr>
        <w:t>（二）部门整体支出绩效自评报告</w:t>
      </w:r>
    </w:p>
    <w:p>
      <w:pPr>
        <w:jc w:val="left"/>
        <w:rPr>
          <w:rFonts w:ascii="楷体" w:eastAsia="楷体" w:hAnsi="楷体" w:hint="eastAsia"/>
          <w:sz w:val="30"/>
          <w:szCs w:val="30"/>
          <w:highlight w:val="none"/>
          <w:lang w:val="en-US" w:eastAsia="zh-CN"/>
        </w:rPr>
      </w:pPr>
      <w:r>
        <w:rPr>
          <w:rFonts w:ascii="楷体" w:eastAsia="楷体" w:hAnsi="楷体" w:hint="eastAsia"/>
          <w:sz w:val="30"/>
          <w:szCs w:val="30"/>
          <w:highlight w:val="none"/>
          <w:lang w:val="en-US" w:eastAsia="zh-CN"/>
        </w:rPr>
        <w:t>（三）部门整体支出绩效自评表</w:t>
      </w:r>
    </w:p>
    <w:p>
      <w:pPr>
        <w:jc w:val="left"/>
        <w:rPr>
          <w:rFonts w:ascii="楷体" w:eastAsia="楷体" w:hAnsi="楷体" w:hint="eastAsia"/>
          <w:sz w:val="30"/>
          <w:szCs w:val="30"/>
          <w:highlight w:val="none"/>
          <w:lang w:val="en-US" w:eastAsia="zh-CN"/>
        </w:rPr>
      </w:pPr>
      <w:r>
        <w:rPr>
          <w:rFonts w:ascii="楷体" w:eastAsia="楷体" w:hAnsi="楷体" w:hint="eastAsia"/>
          <w:sz w:val="30"/>
          <w:szCs w:val="30"/>
          <w:highlight w:val="none"/>
          <w:lang w:eastAsia="zh-CN"/>
        </w:rPr>
        <w:t>五、</w:t>
      </w:r>
      <w:r>
        <w:rPr>
          <w:rFonts w:ascii="楷体" w:eastAsia="楷体" w:hAnsi="楷体" w:hint="eastAsia"/>
          <w:sz w:val="30"/>
          <w:szCs w:val="30"/>
          <w:highlight w:val="none"/>
          <w:lang w:val="en-US" w:eastAsia="zh-CN"/>
        </w:rPr>
        <w:t>其他重要事项情况说明、</w:t>
      </w:r>
    </w:p>
    <w:p>
      <w:pPr>
        <w:jc w:val="left"/>
        <w:rPr>
          <w:rFonts w:ascii="楷体" w:eastAsia="楷体" w:hAnsi="楷体" w:hint="eastAsia"/>
          <w:sz w:val="30"/>
          <w:szCs w:val="30"/>
          <w:highlight w:val="none"/>
          <w:lang w:val="en-US" w:eastAsia="zh-CN"/>
        </w:rPr>
      </w:pPr>
      <w:r>
        <w:rPr>
          <w:rFonts w:ascii="楷体" w:eastAsia="楷体" w:hAnsi="楷体" w:hint="eastAsia"/>
          <w:sz w:val="30"/>
          <w:szCs w:val="30"/>
          <w:highlight w:val="none"/>
          <w:lang w:val="en-US" w:eastAsia="zh-CN"/>
        </w:rPr>
        <w:t>六、相关口径说明</w:t>
      </w:r>
    </w:p>
    <w:p>
      <w:pPr>
        <w:widowControl/>
        <w:snapToGrid w:val="0"/>
        <w:spacing w:before="100" w:after="100" w:line="360" w:lineRule="auto"/>
        <w:jc w:val="left"/>
        <w:rPr>
          <w:rFonts w:ascii="黑体" w:eastAsia="黑体" w:hAnsi="黑体" w:hint="eastAsia"/>
          <w:sz w:val="30"/>
          <w:szCs w:val="30"/>
        </w:rPr>
      </w:pPr>
      <w:r>
        <w:rPr>
          <w:rFonts w:ascii="黑体" w:eastAsia="黑体" w:hAnsi="黑体" w:hint="eastAsia"/>
          <w:sz w:val="30"/>
          <w:szCs w:val="30"/>
        </w:rPr>
        <w:t>第</w:t>
      </w:r>
      <w:r>
        <w:rPr>
          <w:rFonts w:ascii="黑体" w:eastAsia="黑体" w:hAnsi="黑体" w:hint="eastAsia"/>
          <w:sz w:val="30"/>
          <w:szCs w:val="30"/>
          <w:lang w:eastAsia="zh-CN"/>
        </w:rPr>
        <w:t>五</w:t>
      </w:r>
      <w:r>
        <w:rPr>
          <w:rFonts w:ascii="黑体" w:eastAsia="黑体" w:hAnsi="黑体" w:hint="eastAsia"/>
          <w:sz w:val="30"/>
          <w:szCs w:val="30"/>
        </w:rPr>
        <w:t>部分  名词解释</w:t>
      </w: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both"/>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p>
    <w:p>
      <w:pPr>
        <w:jc w:val="center"/>
        <w:rPr>
          <w:rFonts w:ascii="黑体" w:eastAsia="黑体" w:hAnsi="黑体" w:hint="eastAsia"/>
          <w:sz w:val="32"/>
          <w:szCs w:val="32"/>
        </w:rPr>
      </w:pPr>
      <w:r>
        <w:rPr>
          <w:rFonts w:ascii="黑体" w:eastAsia="黑体" w:hAnsi="黑体" w:hint="eastAsia"/>
          <w:sz w:val="32"/>
          <w:szCs w:val="32"/>
        </w:rPr>
        <w:t xml:space="preserve">第一部分  </w:t>
      </w:r>
      <w:r>
        <w:rPr>
          <w:rFonts w:ascii="黑体" w:eastAsia="黑体" w:hAnsi="黑体" w:hint="eastAsia"/>
          <w:sz w:val="32"/>
          <w:szCs w:val="32"/>
          <w:lang w:eastAsia="zh-CN"/>
        </w:rPr>
        <w:t>云南省迪庆州水务局</w:t>
      </w:r>
      <w:r>
        <w:rPr>
          <w:rFonts w:ascii="黑体" w:eastAsia="黑体" w:hAnsi="黑体" w:hint="eastAsia"/>
          <w:sz w:val="32"/>
          <w:szCs w:val="32"/>
        </w:rPr>
        <w:t>概况</w:t>
      </w:r>
    </w:p>
    <w:p>
      <w:pPr>
        <w:spacing w:line="600" w:lineRule="exact"/>
        <w:ind w:firstLine="600" w:firstLineChars="200"/>
        <w:rPr>
          <w:rFonts w:ascii="黑体" w:eastAsia="黑体" w:hAnsi="黑体" w:hint="eastAsia"/>
          <w:sz w:val="30"/>
          <w:szCs w:val="30"/>
        </w:rPr>
      </w:pPr>
      <w:r>
        <w:rPr>
          <w:rFonts w:ascii="黑体" w:eastAsia="黑体" w:hAnsi="黑体" w:hint="eastAsia"/>
          <w:sz w:val="30"/>
          <w:szCs w:val="30"/>
        </w:rPr>
        <w:t>一、主要职能</w:t>
      </w:r>
    </w:p>
    <w:p>
      <w:pPr>
        <w:spacing w:line="600" w:lineRule="exact"/>
        <w:ind w:firstLine="600" w:firstLineChars="200"/>
        <w:rPr>
          <w:rFonts w:ascii="楷体" w:eastAsia="楷体" w:hAnsi="楷体" w:hint="eastAsia"/>
          <w:sz w:val="30"/>
          <w:szCs w:val="30"/>
        </w:rPr>
      </w:pPr>
      <w:r>
        <w:rPr>
          <w:rFonts w:ascii="楷体" w:eastAsia="楷体" w:hAnsi="楷体" w:hint="eastAsia"/>
          <w:bCs/>
          <w:sz w:val="30"/>
          <w:szCs w:val="30"/>
        </w:rPr>
        <w:t>（一）主要职能</w:t>
      </w:r>
    </w:p>
    <w:p>
      <w:pPr>
        <w:pStyle w:val="BodyText"/>
        <w:adjustRightInd w:val="0"/>
        <w:snapToGrid w:val="0"/>
        <w:spacing w:line="600" w:lineRule="exact"/>
        <w:ind w:firstLine="630" w:firstLineChars="210"/>
        <w:rPr>
          <w:rFonts w:hint="eastAsia"/>
          <w:bCs/>
          <w:szCs w:val="30"/>
        </w:rPr>
      </w:pPr>
      <w:r>
        <w:rPr>
          <w:rFonts w:hint="eastAsia"/>
          <w:bCs/>
          <w:szCs w:val="30"/>
        </w:rPr>
        <w:t>贯彻执行国家和省水行政管理的法律、法规。负责全州水资源配置、节约和保护工作。组织编制并实施全州水资源综合规划、流域（区域）综合规划、专业规划和专项规划。负责水旱灾害防御</w:t>
      </w:r>
      <w:r>
        <w:rPr>
          <w:rFonts w:hint="eastAsia"/>
          <w:bCs/>
          <w:szCs w:val="30"/>
          <w:lang w:eastAsia="zh-CN"/>
        </w:rPr>
        <w:t>。</w:t>
      </w:r>
      <w:r>
        <w:rPr>
          <w:rFonts w:hint="eastAsia"/>
          <w:bCs/>
          <w:szCs w:val="30"/>
        </w:rPr>
        <w:t>负责水利设施、水域及其岸线的管理与保护；指导江河、湖泊及河口滩涂的治理和开发；指导水利工程建设与运行管理；组织实施具有控制性的或跨县（市、区）及跨流域的重要水利工程建设与运行管理；指导全州地方小水电建设工作。负责水利行业安全生产工作，指导水库大坝等水工程的安全监测，组织实施水利工程质量和安全监督。指导全州农村水利水电工作，组织拟订农村水利水电法规政策、发展战略、发展规划和行业技术标准并监督实施。组织、协调、指导全州水土保持工作，负责水土流失综合防治、监督管理和监测评价。指导全州水利系统依法行政法治宣传教育和普法工作，组织拟订水利普法规划和年度计划并监督实施。负责提出中央、省、州水利建设投资（含专项资金）的规模、方向和项目安排的意见、年度投资建议计划，监督指导投资计划执行情况。负责河长（湖长）制工作的组织、协调、督办、分办、考核等工作。完成州委、州政府交办的其他任务。</w:t>
      </w:r>
    </w:p>
    <w:p>
      <w:pPr>
        <w:pStyle w:val="BodyText"/>
        <w:adjustRightInd w:val="0"/>
        <w:snapToGrid w:val="0"/>
        <w:spacing w:line="600" w:lineRule="exact"/>
        <w:ind w:firstLine="630" w:firstLineChars="210"/>
        <w:rPr>
          <w:rFonts w:ascii="楷体" w:eastAsia="楷体" w:hAnsi="楷体" w:hint="eastAsia"/>
          <w:bCs/>
          <w:szCs w:val="30"/>
        </w:rPr>
      </w:pPr>
      <w:r>
        <w:rPr>
          <w:rFonts w:ascii="楷体" w:eastAsia="楷体" w:hAnsi="楷体" w:hint="eastAsia"/>
          <w:bCs/>
          <w:szCs w:val="30"/>
        </w:rPr>
        <w:t>（二）</w:t>
      </w:r>
      <w:r>
        <w:rPr>
          <w:rFonts w:ascii="楷体" w:eastAsia="楷体" w:hAnsi="楷体" w:hint="eastAsia"/>
          <w:bCs/>
          <w:szCs w:val="30"/>
          <w:lang w:val="en-US" w:eastAsia="zh-CN"/>
        </w:rPr>
        <w:t>2019</w:t>
      </w:r>
      <w:r>
        <w:rPr>
          <w:rFonts w:ascii="楷体" w:eastAsia="楷体" w:hAnsi="楷体" w:hint="eastAsia"/>
          <w:bCs/>
          <w:szCs w:val="30"/>
        </w:rPr>
        <w:t>年度重点工作任务介绍</w:t>
      </w:r>
    </w:p>
    <w:p>
      <w:pPr>
        <w:pStyle w:val="BodyText"/>
        <w:adjustRightInd w:val="0"/>
        <w:snapToGrid w:val="0"/>
        <w:spacing w:line="600" w:lineRule="exact"/>
        <w:ind w:firstLine="630" w:firstLineChars="210"/>
        <w:rPr>
          <w:rFonts w:eastAsia="仿宋_GB2312" w:hint="eastAsia"/>
          <w:bCs/>
          <w:szCs w:val="30"/>
          <w:lang w:eastAsia="zh-CN"/>
        </w:rPr>
      </w:pPr>
      <w:r>
        <w:rPr>
          <w:rFonts w:hint="eastAsia"/>
          <w:bCs/>
          <w:szCs w:val="30"/>
        </w:rPr>
        <w:t>1、强化组织领导，水利项目建设不断加快</w:t>
      </w:r>
      <w:r>
        <w:rPr>
          <w:rFonts w:hint="eastAsia"/>
          <w:bCs/>
          <w:szCs w:val="30"/>
          <w:lang w:eastAsia="zh-CN"/>
        </w:rPr>
        <w:t>。</w:t>
      </w:r>
    </w:p>
    <w:p>
      <w:pPr>
        <w:pStyle w:val="BodyText"/>
        <w:adjustRightInd w:val="0"/>
        <w:snapToGrid w:val="0"/>
        <w:spacing w:line="600" w:lineRule="exact"/>
        <w:ind w:firstLine="630" w:firstLineChars="210"/>
        <w:rPr>
          <w:rFonts w:hint="eastAsia"/>
          <w:bCs/>
          <w:szCs w:val="30"/>
        </w:rPr>
      </w:pPr>
      <w:r>
        <w:rPr>
          <w:rFonts w:hint="eastAsia"/>
          <w:bCs/>
          <w:szCs w:val="30"/>
        </w:rPr>
        <w:t>抓好水利固定资产投资。始终坚持抓项目就是抓发展的理念，从年初开始积极谋划项目，制定重点项目推进计划，有目标、有计划、有措施的推进项目建设。通过一年来的组织建设，截止目前，完成水利固定资产投资96862万元，年内可全面完成州政府下达的10亿元的年度投资任务，超额完成了与省水利厅签订的6亿元的投资任务，具体抓了以下几方面的工作：</w:t>
      </w:r>
    </w:p>
    <w:p>
      <w:pPr>
        <w:pStyle w:val="BodyText"/>
        <w:adjustRightInd w:val="0"/>
        <w:snapToGrid w:val="0"/>
        <w:spacing w:line="600" w:lineRule="exact"/>
        <w:ind w:firstLine="600" w:firstLineChars="200"/>
        <w:rPr>
          <w:rFonts w:hint="eastAsia"/>
          <w:bCs/>
          <w:szCs w:val="30"/>
        </w:rPr>
      </w:pPr>
      <w:r>
        <w:rPr>
          <w:rFonts w:hint="eastAsia"/>
          <w:bCs/>
          <w:szCs w:val="30"/>
        </w:rPr>
        <w:t>抓水利重点项目建设。全面收尾小中甸大型水库和康思小型水库，继续实施拉多阁中型水库和谷久浓小型水库，开工建设毕桑谷、忠太两个小型水库。同时实施了硕多岗河、珠巴洛河、永春河等10条中小河流治理。桑那小流域、美光小流域等综合治理以及农村饮水安全巩固提升工程和水质提升工程。</w:t>
      </w:r>
    </w:p>
    <w:p>
      <w:pPr>
        <w:pStyle w:val="BodyText"/>
        <w:adjustRightInd w:val="0"/>
        <w:snapToGrid w:val="0"/>
        <w:spacing w:line="600" w:lineRule="exact"/>
        <w:ind w:firstLine="630" w:firstLineChars="210"/>
        <w:rPr>
          <w:rFonts w:hint="eastAsia"/>
          <w:bCs/>
          <w:szCs w:val="30"/>
        </w:rPr>
      </w:pPr>
      <w:r>
        <w:rPr>
          <w:rFonts w:hint="eastAsia"/>
          <w:bCs/>
          <w:szCs w:val="30"/>
        </w:rPr>
        <w:t>加大水利项目前期工作力度。开展了香格里拉三岔河水库、天吉水库，维西县阿三多水库、几青库水库、哈达水库，德钦各加尼拉水库等水源工程以及金沙江干流防洪工程、城镇防洪工程、澜沧江防洪工程、纳帕海防洪应急工程、纳帕海防治整治隧道工程等一批项目前期，为明年及“十四五”做项目储备，逐步解决水利项目储备不足短板。</w:t>
      </w:r>
    </w:p>
    <w:p>
      <w:pPr>
        <w:pStyle w:val="BodyText"/>
        <w:adjustRightInd w:val="0"/>
        <w:snapToGrid w:val="0"/>
        <w:spacing w:line="600" w:lineRule="exact"/>
        <w:ind w:firstLine="630" w:firstLineChars="210"/>
        <w:rPr>
          <w:rFonts w:hint="eastAsia"/>
          <w:bCs/>
          <w:szCs w:val="30"/>
        </w:rPr>
      </w:pPr>
      <w:r>
        <w:rPr>
          <w:rFonts w:hint="eastAsia"/>
          <w:bCs/>
          <w:szCs w:val="30"/>
        </w:rPr>
        <w:t>积极组织好“11.03”金沙江白格堰塞湖水利工程恢复重建和纳帕海水患处置工作，香格里拉市水毁应急修复护岸工程已开工完成4.24公里治理。德钦县正在开展奔子栏镇、拖顶乡饮水和农田灌溉管道维修和改线工作。维西县开发区灾后重建目前正在实施。</w:t>
      </w:r>
    </w:p>
    <w:p>
      <w:pPr>
        <w:pStyle w:val="BodyText"/>
        <w:adjustRightInd w:val="0"/>
        <w:snapToGrid w:val="0"/>
        <w:spacing w:line="600" w:lineRule="exact"/>
        <w:ind w:firstLine="630" w:firstLineChars="210"/>
        <w:rPr>
          <w:rFonts w:hint="eastAsia"/>
          <w:bCs/>
          <w:szCs w:val="30"/>
        </w:rPr>
      </w:pPr>
      <w:r>
        <w:rPr>
          <w:rFonts w:hint="eastAsia"/>
          <w:bCs/>
          <w:szCs w:val="30"/>
        </w:rPr>
        <w:t>2、加快水生态建设与保护。</w:t>
      </w:r>
    </w:p>
    <w:p>
      <w:pPr>
        <w:pStyle w:val="BodyText"/>
        <w:adjustRightInd w:val="0"/>
        <w:snapToGrid w:val="0"/>
        <w:spacing w:line="600" w:lineRule="exact"/>
        <w:ind w:firstLine="600" w:firstLineChars="200"/>
        <w:rPr>
          <w:rFonts w:hint="eastAsia"/>
          <w:bCs/>
          <w:szCs w:val="30"/>
        </w:rPr>
      </w:pPr>
      <w:r>
        <w:rPr>
          <w:rFonts w:hint="eastAsia"/>
          <w:bCs/>
          <w:szCs w:val="30"/>
        </w:rPr>
        <w:t>全面落实水土保持“三同时”制度，深入推进水土保持监督管理工作。严格水土保持方案审批，推进开发建设项目水土保持设施自主验收工作，开展了水土保持监督执法专项检查。抓好全州水土流失防治工作，完成治理水土流失面积177.2平方公里，完成投资1396万元。开展水土保持信息化录入工作。加大了开发建设项目水土保持设施补偿费的征收力度，完成征收水土保持设施补偿费325万元。开展《迪庆州2020－2030年水土保持规划》编制，颁布了《迪庆州水土保持目标责任考核办法》、《迪庆州水土保持目标责任考核办法实施方案（试行）》等。</w:t>
      </w:r>
    </w:p>
    <w:p>
      <w:pPr>
        <w:pStyle w:val="BodyText"/>
        <w:adjustRightInd w:val="0"/>
        <w:snapToGrid w:val="0"/>
        <w:spacing w:line="600" w:lineRule="exact"/>
        <w:ind w:firstLine="630" w:firstLineChars="210"/>
        <w:rPr>
          <w:rFonts w:hint="eastAsia"/>
          <w:bCs/>
          <w:szCs w:val="30"/>
        </w:rPr>
      </w:pPr>
      <w:r>
        <w:rPr>
          <w:rFonts w:hint="eastAsia"/>
          <w:bCs/>
          <w:szCs w:val="30"/>
        </w:rPr>
        <w:t>全面开展了四级河长巡河、清河专项行动，同时，还开展了水资源“双控”行动、水污染防治行动、水库垃圾围坝专项整治行动、固体废物专项整治行动、各类保护区水域违规违法整治行动、水域岸线违建别墅专项整治行动、网箱养鱼专项整治行动、中小水电站清理整治行动等。通过巡河、清河、“清四乱”等专项行动，全州河湖保护治理取得了一定效，全州正努力实现“河畅、水清、岸绿、湖美”的目标。在做好河湖管理的同时，利用各种媒介，广泛宣传引导，提高了群众对保护河湖及河（湖）长制工作的认知度和参与度，进而引导群众树立“绿水青山”就是金山银山的观念，广大群众乱弃垃圾、乱排污水等生活陋习逐渐改变，全州逐步形成了“人人爱河，人人护河”的良好氛围。</w:t>
      </w:r>
    </w:p>
    <w:p>
      <w:pPr>
        <w:pStyle w:val="BodyText"/>
        <w:adjustRightInd w:val="0"/>
        <w:snapToGrid w:val="0"/>
        <w:spacing w:line="600" w:lineRule="exact"/>
        <w:ind w:firstLine="630" w:firstLineChars="210"/>
        <w:rPr>
          <w:rFonts w:hint="eastAsia"/>
          <w:bCs/>
          <w:szCs w:val="30"/>
        </w:rPr>
      </w:pPr>
      <w:r>
        <w:rPr>
          <w:rFonts w:hint="eastAsia"/>
          <w:bCs/>
          <w:szCs w:val="30"/>
        </w:rPr>
        <w:t>推进水行政执法依法征收水资源费。加大水事违法行为查处力度，完善执法巡查制度，推进水行政审批制度改革。建立健全水利普法责任制。以“世界水日”“中国水周”宣传活动增强群众水环境保护意识。严格落实水资源管理“三条红线”“四项制度”。依法征收水资源费全州征收水资源费1458万元。开展了长江流域取水设施核查登记工作。基本完成省委、省政府环保督察及中央环保督察“回头看”发现问题整改工作。完成提升城乡人居环境工作和小水电清理整改阶段性工作。</w:t>
      </w:r>
    </w:p>
    <w:p>
      <w:pPr>
        <w:pStyle w:val="BodyText"/>
        <w:adjustRightInd w:val="0"/>
        <w:snapToGrid w:val="0"/>
        <w:spacing w:line="600" w:lineRule="exact"/>
        <w:ind w:firstLine="630" w:firstLineChars="210"/>
        <w:rPr>
          <w:rFonts w:hint="eastAsia"/>
          <w:bCs/>
          <w:szCs w:val="30"/>
        </w:rPr>
      </w:pPr>
      <w:r>
        <w:rPr>
          <w:rFonts w:hint="eastAsia"/>
          <w:bCs/>
          <w:szCs w:val="30"/>
        </w:rPr>
        <w:t>3、巩固提升农村饮水安全，助推脱贫攻坚</w:t>
      </w:r>
    </w:p>
    <w:p>
      <w:pPr>
        <w:pStyle w:val="BodyText"/>
        <w:adjustRightInd w:val="0"/>
        <w:snapToGrid w:val="0"/>
        <w:spacing w:line="600" w:lineRule="exact"/>
        <w:ind w:firstLine="630" w:firstLineChars="210"/>
        <w:rPr>
          <w:rFonts w:hint="eastAsia"/>
          <w:bCs/>
          <w:szCs w:val="30"/>
        </w:rPr>
      </w:pPr>
      <w:r>
        <w:rPr>
          <w:rFonts w:hint="eastAsia"/>
          <w:bCs/>
          <w:szCs w:val="30"/>
        </w:rPr>
        <w:t>全州三县（市）29个乡镇、181个村委会、2193个村民小组。截止目前，全州共计建成了2091个农村供水工程，基本建成1个村民小组有1个单独的供水工程，饮水工程覆盖了农村全部人口。按照《云南省脱贫攻坚农村饮水安全评价标准》的4项要求，水量、水质、取水方便程度、供水保证率，结合4项标准，从2017年开始全面开展了排查工作，并建立了台账，逐项制定方案，分期实施供水工程，解决和改善饮水条件，同时，每年根据自然灾害情况再排查，再实施再解决。通过不断地推进，去年在香格里拉市、德钦县脱贫摘帽验收中，水利扶贫任务顺利完成。今年，在继续巩固成果的基础上，2019年重点对维西县，通过反复排查，年内实施了巩固提升工程577件，现已基本建成，可巩固提升14611户56060人。已达到水利扶贫达标的要求。</w:t>
      </w:r>
    </w:p>
    <w:p>
      <w:pPr>
        <w:pStyle w:val="BodyText"/>
        <w:adjustRightInd w:val="0"/>
        <w:snapToGrid w:val="0"/>
        <w:spacing w:line="600" w:lineRule="exact"/>
        <w:ind w:firstLine="630" w:firstLineChars="210"/>
        <w:rPr>
          <w:rFonts w:hint="eastAsia"/>
          <w:bCs/>
          <w:szCs w:val="30"/>
        </w:rPr>
      </w:pPr>
      <w:r>
        <w:rPr>
          <w:rFonts w:hint="eastAsia"/>
          <w:bCs/>
          <w:szCs w:val="30"/>
        </w:rPr>
        <w:t>自2018年开始启动农村饮水安全水质提升工程实施以来，截止目前共计实施农村集中供水水质净化工程258件，覆盖约7万人，入户安装水质净化设施700余户3000余人。</w:t>
      </w:r>
    </w:p>
    <w:p>
      <w:pPr>
        <w:pStyle w:val="BodyText"/>
        <w:adjustRightInd w:val="0"/>
        <w:snapToGrid w:val="0"/>
        <w:spacing w:line="600" w:lineRule="exact"/>
        <w:ind w:firstLine="630" w:firstLineChars="210"/>
        <w:rPr>
          <w:rFonts w:hint="eastAsia"/>
          <w:bCs/>
          <w:szCs w:val="30"/>
        </w:rPr>
      </w:pPr>
      <w:r>
        <w:rPr>
          <w:rFonts w:hint="eastAsia"/>
          <w:bCs/>
          <w:szCs w:val="30"/>
        </w:rPr>
        <w:t>按照迪庆藏区扶贫攻坚三年行动计划及“挂包帮、转走访”工作要求，认真组织开展年度精准扶贫工作，做到“单位到村、干部到户、责任到人、措施到位。派驻村工作人员安排协调扶贫项目。制定每月到扶贫点工作计划及人员安排表，分批次组织干部职工到扶贫点开展工作。同时积极参与省厅脱贫攻坚纪检组赴迪庆进行国检前督查，确保我州水利扶贫顺利通过省检、国检。重点解决农村饮水安全问题，对标对本，严格按照云南省农村饮水安全贫困退出标准4个要求全面展开全州农村饮水安全现状排查工作，对未满足退出要求的饮水工程及其它部门查访到未满足退出要求的饮水工程实施及时回访整改，尽量立行立改，确保全州2019年度因水致贫人口“清零”。</w:t>
      </w:r>
    </w:p>
    <w:p>
      <w:pPr>
        <w:pStyle w:val="BodyText"/>
        <w:adjustRightInd w:val="0"/>
        <w:snapToGrid w:val="0"/>
        <w:spacing w:line="600" w:lineRule="exact"/>
        <w:ind w:firstLine="600" w:firstLineChars="200"/>
        <w:rPr>
          <w:rFonts w:hint="eastAsia"/>
          <w:bCs/>
          <w:szCs w:val="30"/>
        </w:rPr>
      </w:pPr>
      <w:r>
        <w:rPr>
          <w:rFonts w:hint="eastAsia"/>
          <w:bCs/>
          <w:szCs w:val="30"/>
        </w:rPr>
        <w:t>（四）提升防灾减灾能力</w:t>
      </w:r>
    </w:p>
    <w:p>
      <w:pPr>
        <w:pStyle w:val="BodyText"/>
        <w:adjustRightInd w:val="0"/>
        <w:snapToGrid w:val="0"/>
        <w:spacing w:line="600" w:lineRule="exact"/>
        <w:ind w:firstLine="630" w:firstLineChars="210"/>
        <w:rPr>
          <w:rFonts w:hint="eastAsia"/>
          <w:bCs/>
          <w:szCs w:val="30"/>
        </w:rPr>
      </w:pPr>
      <w:r>
        <w:rPr>
          <w:rFonts w:hint="eastAsia"/>
          <w:bCs/>
          <w:szCs w:val="30"/>
        </w:rPr>
        <w:t>采取有力措施，积极准备及应对灾情。州人民政府成立迪庆州自然灾害应急管理委员会，下设迪庆州防汛抗旱指挥部，进一步明确指挥体系及成员单位，建立了统一指挥、专常兼备、反应灵敏、上下联动、平站结合的应急管理体制。根据州人民政府《关于做好防汛工作的紧急通知》，进一步加强对救灾、防灾工作重要性的认识，加强值班值守和信息汇总，加强雨情水情监测预报，加强山洪、滑坡、泥石流等灾害预报预防，加强抢险救灾和应急处置。明确防汛责任。落实以行政首长负责制为核心的防汛责任，形成了以江河、湖泊、重点水库、城市、水电站等重点地区的防汛抗旱责任体系，州防指各成员单位落实了重点区域、重点河段、重点工程、重要环节防汛责任。开展隐患排查。对重点地区重点建设项目组织机构、度汛计划、应急预案、队伍物资、监测预报预警系统、调度信息传送等重要安全度汛环节工作进行检查。强化协调配合。加强与各相关部门沟通协调和信息共享，有效应对灾情发生。灾情发生后，全州各级水务局部门迅速行动，全力投入抗洪抢险，及时恢复水毁水利设施，确保灾区饮水安全，各县（市）、各乡镇党委政府迅速反应，及时成立工作组深入灾区开展抢险救援、隐患排查、转移群众、灾情统计、安置群众等工作。</w:t>
      </w:r>
    </w:p>
    <w:p>
      <w:pPr>
        <w:pStyle w:val="BodyText"/>
        <w:adjustRightInd w:val="0"/>
        <w:snapToGrid w:val="0"/>
        <w:spacing w:line="600" w:lineRule="exact"/>
        <w:ind w:firstLine="630" w:firstLineChars="210"/>
        <w:rPr>
          <w:rFonts w:hint="eastAsia"/>
          <w:bCs/>
          <w:szCs w:val="30"/>
        </w:rPr>
      </w:pPr>
      <w:r>
        <w:rPr>
          <w:rFonts w:hint="eastAsia"/>
          <w:bCs/>
          <w:szCs w:val="30"/>
        </w:rPr>
        <w:t>（五）注重工程质量，保障安全生产</w:t>
      </w:r>
    </w:p>
    <w:p>
      <w:pPr>
        <w:pStyle w:val="BodyText"/>
        <w:adjustRightInd w:val="0"/>
        <w:snapToGrid w:val="0"/>
        <w:spacing w:line="600" w:lineRule="exact"/>
        <w:ind w:firstLine="630" w:firstLineChars="210"/>
        <w:rPr>
          <w:rFonts w:hint="eastAsia"/>
          <w:bCs/>
          <w:szCs w:val="30"/>
        </w:rPr>
      </w:pPr>
      <w:r>
        <w:rPr>
          <w:rFonts w:hint="eastAsia"/>
          <w:bCs/>
          <w:szCs w:val="30"/>
        </w:rPr>
        <w:t>紧密配合全州水利建设内容，及时督促办理工程质量监督手续，加强重点环节监管，做到事前预防、事中控制、事后验收，力争将工程质量问题发现和解决在初始状态，确保工程建设质量。2019年共计完成香格里拉市毕桑谷水库、维西县永春河防洪治理三期工程、德钦县永芝河治理项目等10个工程项目的质量监督手续的办理。根据工程完工情况及时核定工程质量等级，编写工程质量监督报告，促进水利工程竣工验收投入使用，尽早发挥工程效益。</w:t>
      </w:r>
    </w:p>
    <w:p>
      <w:pPr>
        <w:pStyle w:val="BodyText"/>
        <w:adjustRightInd w:val="0"/>
        <w:snapToGrid w:val="0"/>
        <w:spacing w:line="600" w:lineRule="exact"/>
        <w:ind w:firstLine="630" w:firstLineChars="210"/>
        <w:rPr>
          <w:rFonts w:hint="eastAsia"/>
          <w:bCs/>
          <w:szCs w:val="30"/>
        </w:rPr>
      </w:pPr>
      <w:r>
        <w:rPr>
          <w:rFonts w:hint="eastAsia"/>
          <w:bCs/>
          <w:szCs w:val="30"/>
        </w:rPr>
        <w:t>为避免质量安全事故隐患，确保水利建设任务按时、按质、按量完成，如期发挥效益。进一步加强水利工程建设管理，为迪庆水利跨越式发展提供重要支撑，全面完成小康水利建设任务，促进“四个安全”，根据《云南省水利厅关于开展2019年云南省水利建设项目稽察工作的通知》以开展各项行动为主线，多措并举，着力构建“创平安、保稳定、促发展”的安全生产长效工作机制，取得了明显成效，全年未发生一起安全事故。</w:t>
      </w:r>
    </w:p>
    <w:p>
      <w:pPr>
        <w:spacing w:line="600" w:lineRule="exact"/>
        <w:ind w:firstLine="600" w:firstLineChars="200"/>
        <w:rPr>
          <w:rFonts w:ascii="黑体" w:eastAsia="黑体" w:hAnsi="黑体" w:hint="eastAsia"/>
          <w:sz w:val="30"/>
          <w:szCs w:val="30"/>
        </w:rPr>
      </w:pPr>
      <w:r>
        <w:rPr>
          <w:rFonts w:ascii="黑体" w:eastAsia="黑体" w:hAnsi="黑体" w:hint="eastAsia"/>
          <w:sz w:val="30"/>
          <w:szCs w:val="30"/>
        </w:rPr>
        <w:t>二、部门基本情况</w:t>
      </w:r>
    </w:p>
    <w:p>
      <w:pPr>
        <w:spacing w:line="600" w:lineRule="exact"/>
        <w:ind w:firstLine="600" w:firstLineChars="200"/>
        <w:rPr>
          <w:rFonts w:ascii="楷体" w:eastAsia="楷体" w:hAnsi="楷体" w:hint="eastAsia"/>
          <w:sz w:val="30"/>
          <w:szCs w:val="30"/>
        </w:rPr>
      </w:pPr>
      <w:r>
        <w:rPr>
          <w:rFonts w:ascii="楷体" w:eastAsia="楷体" w:hAnsi="楷体" w:hint="eastAsia"/>
          <w:sz w:val="30"/>
          <w:szCs w:val="30"/>
        </w:rPr>
        <w:t>（一）部门决算单位构成</w:t>
      </w:r>
    </w:p>
    <w:p>
      <w:pPr>
        <w:spacing w:line="600" w:lineRule="exact"/>
        <w:ind w:firstLine="600" w:firstLineChars="200"/>
        <w:rPr>
          <w:rFonts w:ascii="仿宋_GB2312" w:eastAsia="仿宋_GB2312" w:hint="eastAsia"/>
          <w:sz w:val="30"/>
          <w:szCs w:val="30"/>
        </w:rPr>
      </w:pPr>
      <w:r>
        <w:rPr>
          <w:rFonts w:ascii="仿宋_GB2312" w:eastAsia="仿宋_GB2312" w:hint="eastAsia"/>
          <w:sz w:val="30"/>
          <w:szCs w:val="30"/>
        </w:rPr>
        <w:t>纳入</w:t>
      </w:r>
      <w:r>
        <w:rPr>
          <w:rFonts w:ascii="仿宋_GB2312" w:eastAsia="仿宋_GB2312" w:hint="eastAsia"/>
          <w:sz w:val="30"/>
          <w:szCs w:val="30"/>
          <w:lang w:eastAsia="zh-CN"/>
        </w:rPr>
        <w:t>云南省迪庆州水务局</w:t>
      </w:r>
      <w:r>
        <w:rPr>
          <w:rFonts w:ascii="仿宋_GB2312" w:eastAsia="仿宋_GB2312" w:hint="eastAsia"/>
          <w:sz w:val="30"/>
          <w:szCs w:val="30"/>
          <w:lang w:val="en-US" w:eastAsia="zh-CN"/>
        </w:rPr>
        <w:t>2019</w:t>
      </w:r>
      <w:r>
        <w:rPr>
          <w:rFonts w:ascii="仿宋_GB2312" w:eastAsia="仿宋_GB2312" w:hint="eastAsia"/>
          <w:sz w:val="30"/>
          <w:szCs w:val="30"/>
        </w:rPr>
        <w:t>年度部门决算编报的单位共</w:t>
      </w:r>
      <w:r>
        <w:rPr>
          <w:rFonts w:ascii="仿宋_GB2312" w:eastAsia="仿宋_GB2312" w:hint="eastAsia"/>
          <w:sz w:val="30"/>
          <w:szCs w:val="30"/>
          <w:lang w:val="en-US" w:eastAsia="zh-CN"/>
        </w:rPr>
        <w:t>1</w:t>
      </w:r>
      <w:r>
        <w:rPr>
          <w:rFonts w:ascii="仿宋_GB2312" w:eastAsia="仿宋_GB2312" w:hint="eastAsia"/>
          <w:sz w:val="30"/>
          <w:szCs w:val="30"/>
        </w:rPr>
        <w:t>个。其中：行政单位</w:t>
      </w:r>
      <w:r>
        <w:rPr>
          <w:rFonts w:ascii="仿宋_GB2312" w:eastAsia="仿宋_GB2312" w:hint="eastAsia"/>
          <w:sz w:val="30"/>
          <w:szCs w:val="30"/>
          <w:lang w:val="en-US" w:eastAsia="zh-CN"/>
        </w:rPr>
        <w:t>1</w:t>
      </w:r>
      <w:r>
        <w:rPr>
          <w:rFonts w:ascii="仿宋_GB2312" w:eastAsia="仿宋_GB2312" w:hint="eastAsia"/>
          <w:sz w:val="30"/>
          <w:szCs w:val="30"/>
        </w:rPr>
        <w:t>个，参照公务员法管理的事业单位</w:t>
      </w:r>
      <w:r>
        <w:rPr>
          <w:rFonts w:ascii="仿宋_GB2312" w:eastAsia="仿宋_GB2312" w:hint="eastAsia"/>
          <w:bCs/>
          <w:sz w:val="30"/>
          <w:szCs w:val="30"/>
          <w:lang w:val="en-US" w:eastAsia="zh-CN"/>
        </w:rPr>
        <w:t>0</w:t>
      </w:r>
      <w:r>
        <w:rPr>
          <w:rFonts w:ascii="仿宋_GB2312" w:eastAsia="仿宋_GB2312" w:hint="eastAsia"/>
          <w:sz w:val="30"/>
          <w:szCs w:val="30"/>
        </w:rPr>
        <w:t>个，其他事业单位</w:t>
      </w:r>
      <w:r>
        <w:rPr>
          <w:rFonts w:ascii="仿宋_GB2312" w:eastAsia="仿宋_GB2312" w:hint="eastAsia"/>
          <w:sz w:val="30"/>
          <w:szCs w:val="30"/>
          <w:lang w:val="en-US" w:eastAsia="zh-CN"/>
        </w:rPr>
        <w:t>0</w:t>
      </w:r>
      <w:r>
        <w:rPr>
          <w:rFonts w:ascii="仿宋_GB2312" w:eastAsia="仿宋_GB2312" w:hint="eastAsia"/>
          <w:sz w:val="30"/>
          <w:szCs w:val="30"/>
        </w:rPr>
        <w:t>个。分别是：</w:t>
      </w:r>
    </w:p>
    <w:p>
      <w:pPr>
        <w:spacing w:line="600" w:lineRule="exact"/>
        <w:ind w:firstLine="600" w:firstLineChars="200"/>
        <w:rPr>
          <w:rFonts w:ascii="仿宋_GB2312" w:eastAsia="仿宋_GB2312" w:hint="eastAsia"/>
          <w:sz w:val="30"/>
          <w:szCs w:val="30"/>
          <w:lang w:eastAsia="zh-CN"/>
        </w:rPr>
      </w:pPr>
      <w:r>
        <w:rPr>
          <w:rFonts w:ascii="仿宋_GB2312" w:eastAsia="仿宋_GB2312" w:hint="eastAsia"/>
          <w:sz w:val="30"/>
          <w:szCs w:val="30"/>
        </w:rPr>
        <w:t>1.</w:t>
      </w:r>
      <w:r>
        <w:rPr>
          <w:rFonts w:ascii="仿宋_GB2312" w:eastAsia="仿宋_GB2312" w:hint="eastAsia"/>
          <w:sz w:val="30"/>
          <w:szCs w:val="30"/>
          <w:lang w:eastAsia="zh-CN"/>
        </w:rPr>
        <w:t>云南省迪庆州水务局。</w:t>
      </w:r>
    </w:p>
    <w:p>
      <w:pPr>
        <w:ind w:firstLine="600" w:firstLineChars="200"/>
        <w:rPr>
          <w:rFonts w:ascii="楷体" w:eastAsia="楷体" w:hAnsi="楷体" w:hint="eastAsia"/>
          <w:sz w:val="30"/>
          <w:szCs w:val="30"/>
          <w:highlight w:val="none"/>
        </w:rPr>
      </w:pPr>
      <w:r>
        <w:rPr>
          <w:rFonts w:ascii="楷体" w:eastAsia="楷体" w:hAnsi="楷体" w:hint="eastAsia"/>
          <w:sz w:val="30"/>
          <w:szCs w:val="30"/>
          <w:highlight w:val="none"/>
        </w:rPr>
        <w:t xml:space="preserve">（二）部门人员和车辆的编制及实有情况 </w:t>
      </w:r>
    </w:p>
    <w:p>
      <w:pPr>
        <w:spacing w:line="600" w:lineRule="exact"/>
        <w:ind w:firstLine="600" w:firstLineChars="200"/>
        <w:rPr>
          <w:rFonts w:ascii="仿宋_GB2312" w:eastAsia="仿宋_GB2312" w:hAnsi="宋体" w:cs="Arial" w:hint="eastAsia"/>
          <w:kern w:val="0"/>
          <w:sz w:val="30"/>
          <w:szCs w:val="30"/>
          <w:highlight w:val="none"/>
        </w:rPr>
      </w:pPr>
      <w:r>
        <w:rPr>
          <w:rFonts w:ascii="仿宋_GB2312" w:eastAsia="仿宋_GB2312" w:hint="eastAsia"/>
          <w:sz w:val="30"/>
          <w:szCs w:val="30"/>
          <w:highlight w:val="none"/>
          <w:lang w:eastAsia="zh-CN"/>
        </w:rPr>
        <w:t>云南省迪庆州水务局</w:t>
      </w:r>
      <w:r>
        <w:rPr>
          <w:rFonts w:ascii="仿宋_GB2312" w:eastAsia="仿宋_GB2312" w:hint="eastAsia"/>
          <w:sz w:val="30"/>
          <w:szCs w:val="30"/>
          <w:highlight w:val="none"/>
          <w:lang w:val="en-US" w:eastAsia="zh-CN"/>
        </w:rPr>
        <w:t>2019</w:t>
      </w:r>
      <w:r>
        <w:rPr>
          <w:rFonts w:ascii="仿宋_GB2312" w:eastAsia="仿宋_GB2312" w:hint="eastAsia"/>
          <w:sz w:val="30"/>
          <w:szCs w:val="30"/>
          <w:highlight w:val="none"/>
        </w:rPr>
        <w:t>年末实有人员编制</w:t>
      </w:r>
      <w:r>
        <w:rPr>
          <w:rFonts w:ascii="仿宋_GB2312" w:eastAsia="仿宋_GB2312" w:hint="eastAsia"/>
          <w:sz w:val="30"/>
          <w:szCs w:val="30"/>
          <w:highlight w:val="none"/>
          <w:lang w:val="en-US" w:eastAsia="zh-CN"/>
        </w:rPr>
        <w:t>36</w:t>
      </w:r>
      <w:r>
        <w:rPr>
          <w:rFonts w:ascii="仿宋_GB2312" w:eastAsia="仿宋_GB2312" w:hAnsi="宋体" w:cs="Arial" w:hint="eastAsia"/>
          <w:kern w:val="0"/>
          <w:sz w:val="30"/>
          <w:szCs w:val="30"/>
          <w:highlight w:val="none"/>
        </w:rPr>
        <w:t>人。其中：行政编制</w:t>
      </w:r>
      <w:r>
        <w:rPr>
          <w:rFonts w:ascii="仿宋_GB2312" w:eastAsia="仿宋_GB2312" w:hint="eastAsia"/>
          <w:sz w:val="30"/>
          <w:szCs w:val="30"/>
          <w:highlight w:val="none"/>
          <w:lang w:val="en-US" w:eastAsia="zh-CN"/>
        </w:rPr>
        <w:t>11</w:t>
      </w:r>
      <w:r>
        <w:rPr>
          <w:rFonts w:ascii="仿宋_GB2312" w:eastAsia="仿宋_GB2312" w:hAnsi="宋体" w:cs="Arial" w:hint="eastAsia"/>
          <w:kern w:val="0"/>
          <w:sz w:val="30"/>
          <w:szCs w:val="30"/>
          <w:highlight w:val="none"/>
        </w:rPr>
        <w:t>人（含行政工勤编制</w:t>
      </w:r>
      <w:r>
        <w:rPr>
          <w:rFonts w:ascii="仿宋_GB2312" w:eastAsia="仿宋_GB2312" w:hint="eastAsia"/>
          <w:sz w:val="30"/>
          <w:szCs w:val="30"/>
          <w:highlight w:val="none"/>
          <w:lang w:val="en-US" w:eastAsia="zh-CN"/>
        </w:rPr>
        <w:t>1</w:t>
      </w:r>
      <w:r>
        <w:rPr>
          <w:rFonts w:ascii="仿宋_GB2312" w:eastAsia="仿宋_GB2312" w:hAnsi="宋体" w:cs="Arial" w:hint="eastAsia"/>
          <w:kern w:val="0"/>
          <w:sz w:val="30"/>
          <w:szCs w:val="30"/>
          <w:highlight w:val="none"/>
        </w:rPr>
        <w:t>人），事业编制</w:t>
      </w:r>
      <w:r>
        <w:rPr>
          <w:rFonts w:ascii="仿宋_GB2312" w:eastAsia="仿宋_GB2312" w:hint="eastAsia"/>
          <w:sz w:val="30"/>
          <w:szCs w:val="30"/>
          <w:highlight w:val="none"/>
          <w:lang w:val="en-US" w:eastAsia="zh-CN"/>
        </w:rPr>
        <w:t>25</w:t>
      </w:r>
      <w:r>
        <w:rPr>
          <w:rFonts w:ascii="仿宋_GB2312" w:eastAsia="仿宋_GB2312" w:hAnsi="宋体" w:cs="Arial" w:hint="eastAsia"/>
          <w:kern w:val="0"/>
          <w:sz w:val="30"/>
          <w:szCs w:val="30"/>
          <w:highlight w:val="none"/>
        </w:rPr>
        <w:t>人（含参公管理事业编制</w:t>
      </w:r>
      <w:r>
        <w:rPr>
          <w:rFonts w:ascii="仿宋_GB2312" w:eastAsia="仿宋_GB2312" w:hint="eastAsia"/>
          <w:sz w:val="30"/>
          <w:szCs w:val="30"/>
          <w:highlight w:val="none"/>
          <w:lang w:val="en-US" w:eastAsia="zh-CN"/>
        </w:rPr>
        <w:t>0</w:t>
      </w:r>
      <w:r>
        <w:rPr>
          <w:rFonts w:ascii="仿宋_GB2312" w:eastAsia="仿宋_GB2312" w:hAnsi="宋体" w:cs="Arial" w:hint="eastAsia"/>
          <w:kern w:val="0"/>
          <w:sz w:val="30"/>
          <w:szCs w:val="30"/>
          <w:highlight w:val="none"/>
        </w:rPr>
        <w:t>人）；在职在编实有行政人员</w:t>
      </w:r>
      <w:r>
        <w:rPr>
          <w:rFonts w:ascii="仿宋_GB2312" w:eastAsia="仿宋_GB2312" w:hint="eastAsia"/>
          <w:sz w:val="30"/>
          <w:szCs w:val="30"/>
          <w:highlight w:val="none"/>
          <w:lang w:val="en-US" w:eastAsia="zh-CN"/>
        </w:rPr>
        <w:t>9</w:t>
      </w:r>
      <w:r>
        <w:rPr>
          <w:rFonts w:ascii="仿宋_GB2312" w:eastAsia="仿宋_GB2312" w:hAnsi="宋体" w:cs="Arial" w:hint="eastAsia"/>
          <w:kern w:val="0"/>
          <w:sz w:val="30"/>
          <w:szCs w:val="30"/>
          <w:highlight w:val="none"/>
        </w:rPr>
        <w:t>人（含行政工勤人员</w:t>
      </w:r>
      <w:r>
        <w:rPr>
          <w:rFonts w:ascii="仿宋_GB2312" w:eastAsia="仿宋_GB2312" w:hint="eastAsia"/>
          <w:sz w:val="30"/>
          <w:szCs w:val="30"/>
          <w:highlight w:val="none"/>
          <w:lang w:val="en-US" w:eastAsia="zh-CN"/>
        </w:rPr>
        <w:t>1</w:t>
      </w:r>
      <w:r>
        <w:rPr>
          <w:rFonts w:ascii="仿宋_GB2312" w:eastAsia="仿宋_GB2312" w:hAnsi="宋体" w:cs="Arial" w:hint="eastAsia"/>
          <w:kern w:val="0"/>
          <w:sz w:val="30"/>
          <w:szCs w:val="30"/>
          <w:highlight w:val="none"/>
        </w:rPr>
        <w:t>人）</w:t>
      </w:r>
      <w:r>
        <w:rPr>
          <w:rFonts w:ascii="仿宋_GB2312" w:eastAsia="仿宋_GB2312" w:hAnsi="宋体" w:cs="Arial" w:hint="eastAsia"/>
          <w:kern w:val="0"/>
          <w:sz w:val="30"/>
          <w:szCs w:val="30"/>
          <w:highlight w:val="none"/>
          <w:lang w:eastAsia="zh-CN"/>
        </w:rPr>
        <w:t>，行政提前退休</w:t>
      </w:r>
      <w:r>
        <w:rPr>
          <w:rFonts w:ascii="仿宋_GB2312" w:eastAsia="仿宋_GB2312" w:hAnsi="宋体" w:cs="Arial" w:hint="eastAsia"/>
          <w:kern w:val="0"/>
          <w:sz w:val="30"/>
          <w:szCs w:val="30"/>
          <w:highlight w:val="none"/>
          <w:lang w:val="en-US" w:eastAsia="zh-CN"/>
        </w:rPr>
        <w:t>6人</w:t>
      </w:r>
      <w:r>
        <w:rPr>
          <w:rFonts w:ascii="仿宋_GB2312" w:eastAsia="仿宋_GB2312" w:hAnsi="宋体" w:cs="Arial" w:hint="eastAsia"/>
          <w:kern w:val="0"/>
          <w:sz w:val="30"/>
          <w:szCs w:val="30"/>
          <w:highlight w:val="none"/>
        </w:rPr>
        <w:t>，事业人员</w:t>
      </w:r>
      <w:r>
        <w:rPr>
          <w:rFonts w:ascii="仿宋_GB2312" w:eastAsia="仿宋_GB2312" w:hint="eastAsia"/>
          <w:sz w:val="30"/>
          <w:szCs w:val="30"/>
          <w:highlight w:val="none"/>
          <w:lang w:val="en-US" w:eastAsia="zh-CN"/>
        </w:rPr>
        <w:t>25</w:t>
      </w:r>
      <w:r>
        <w:rPr>
          <w:rFonts w:ascii="仿宋_GB2312" w:eastAsia="仿宋_GB2312" w:hAnsi="宋体" w:cs="Arial" w:hint="eastAsia"/>
          <w:kern w:val="0"/>
          <w:sz w:val="30"/>
          <w:szCs w:val="30"/>
          <w:highlight w:val="none"/>
        </w:rPr>
        <w:t>人（含参公管理事业人员</w:t>
      </w:r>
      <w:r>
        <w:rPr>
          <w:rFonts w:ascii="仿宋_GB2312" w:eastAsia="仿宋_GB2312" w:hint="eastAsia"/>
          <w:sz w:val="30"/>
          <w:szCs w:val="30"/>
          <w:highlight w:val="none"/>
          <w:lang w:val="en-US" w:eastAsia="zh-CN"/>
        </w:rPr>
        <w:t>0</w:t>
      </w:r>
      <w:r>
        <w:rPr>
          <w:rFonts w:ascii="仿宋_GB2312" w:eastAsia="仿宋_GB2312" w:hAnsi="宋体" w:cs="Arial" w:hint="eastAsia"/>
          <w:kern w:val="0"/>
          <w:sz w:val="30"/>
          <w:szCs w:val="30"/>
          <w:highlight w:val="none"/>
        </w:rPr>
        <w:t>人）</w:t>
      </w:r>
      <w:r>
        <w:rPr>
          <w:rFonts w:ascii="仿宋_GB2312" w:eastAsia="仿宋_GB2312" w:hAnsi="宋体" w:cs="Arial" w:hint="eastAsia"/>
          <w:kern w:val="0"/>
          <w:sz w:val="30"/>
          <w:szCs w:val="30"/>
          <w:highlight w:val="none"/>
          <w:lang w:eastAsia="zh-CN"/>
        </w:rPr>
        <w:t>，事业提前退休</w:t>
      </w:r>
      <w:r>
        <w:rPr>
          <w:rFonts w:ascii="仿宋_GB2312" w:eastAsia="仿宋_GB2312" w:hAnsi="宋体" w:cs="Arial" w:hint="eastAsia"/>
          <w:kern w:val="0"/>
          <w:sz w:val="30"/>
          <w:szCs w:val="30"/>
          <w:highlight w:val="none"/>
          <w:lang w:val="en-US" w:eastAsia="zh-CN"/>
        </w:rPr>
        <w:t>8人</w:t>
      </w:r>
      <w:r>
        <w:rPr>
          <w:rFonts w:ascii="仿宋_GB2312" w:eastAsia="仿宋_GB2312" w:hAnsi="宋体" w:cs="Arial" w:hint="eastAsia"/>
          <w:kern w:val="0"/>
          <w:sz w:val="30"/>
          <w:szCs w:val="30"/>
          <w:highlight w:val="none"/>
        </w:rPr>
        <w:t>。</w:t>
      </w:r>
      <w:r>
        <w:rPr>
          <w:rFonts w:ascii="仿宋_GB2312" w:eastAsia="仿宋_GB2312" w:hAnsi="宋体" w:cs="Arial" w:hint="eastAsia"/>
          <w:kern w:val="0"/>
          <w:sz w:val="30"/>
          <w:szCs w:val="30"/>
          <w:highlight w:val="none"/>
          <w:lang w:eastAsia="zh-CN"/>
        </w:rPr>
        <w:t>其他人员</w:t>
      </w:r>
      <w:r>
        <w:rPr>
          <w:rFonts w:ascii="仿宋_GB2312" w:eastAsia="仿宋_GB2312" w:hint="eastAsia"/>
          <w:sz w:val="30"/>
          <w:szCs w:val="30"/>
          <w:highlight w:val="none"/>
          <w:lang w:val="en-US" w:eastAsia="zh-CN"/>
        </w:rPr>
        <w:t>0</w:t>
      </w:r>
      <w:r>
        <w:rPr>
          <w:rFonts w:ascii="仿宋_GB2312" w:eastAsia="仿宋_GB2312" w:hint="eastAsia"/>
          <w:sz w:val="30"/>
          <w:szCs w:val="30"/>
          <w:highlight w:val="none"/>
          <w:lang w:eastAsia="zh-CN"/>
        </w:rPr>
        <w:t>人。</w:t>
      </w:r>
    </w:p>
    <w:p>
      <w:pPr>
        <w:spacing w:line="600" w:lineRule="exact"/>
        <w:ind w:firstLine="600" w:firstLineChars="200"/>
        <w:rPr>
          <w:rFonts w:ascii="仿宋_GB2312" w:eastAsia="仿宋_GB2312" w:hAnsi="宋体" w:cs="Arial" w:hint="eastAsia"/>
          <w:kern w:val="0"/>
          <w:sz w:val="30"/>
          <w:szCs w:val="30"/>
          <w:highlight w:val="none"/>
        </w:rPr>
      </w:pPr>
      <w:r>
        <w:rPr>
          <w:rFonts w:ascii="仿宋_GB2312" w:eastAsia="仿宋_GB2312" w:hAnsi="宋体" w:cs="Arial" w:hint="eastAsia"/>
          <w:kern w:val="0"/>
          <w:sz w:val="30"/>
          <w:szCs w:val="30"/>
          <w:highlight w:val="none"/>
        </w:rPr>
        <w:t>离退休人员</w:t>
      </w:r>
      <w:r>
        <w:rPr>
          <w:rFonts w:ascii="仿宋_GB2312" w:eastAsia="仿宋_GB2312" w:hint="eastAsia"/>
          <w:sz w:val="30"/>
          <w:szCs w:val="30"/>
          <w:highlight w:val="none"/>
          <w:lang w:val="en-US" w:eastAsia="zh-CN"/>
        </w:rPr>
        <w:t>20</w:t>
      </w:r>
      <w:r>
        <w:rPr>
          <w:rFonts w:ascii="仿宋_GB2312" w:eastAsia="仿宋_GB2312" w:hAnsi="宋体" w:cs="Arial" w:hint="eastAsia"/>
          <w:kern w:val="0"/>
          <w:sz w:val="30"/>
          <w:szCs w:val="30"/>
          <w:highlight w:val="none"/>
        </w:rPr>
        <w:t>人。其中：离休</w:t>
      </w:r>
      <w:r>
        <w:rPr>
          <w:rFonts w:ascii="仿宋_GB2312" w:eastAsia="仿宋_GB2312" w:hint="eastAsia"/>
          <w:sz w:val="30"/>
          <w:szCs w:val="30"/>
          <w:highlight w:val="none"/>
          <w:lang w:val="en-US" w:eastAsia="zh-CN"/>
        </w:rPr>
        <w:t>0</w:t>
      </w:r>
      <w:r>
        <w:rPr>
          <w:rFonts w:ascii="仿宋_GB2312" w:eastAsia="仿宋_GB2312" w:hAnsi="宋体" w:cs="Arial" w:hint="eastAsia"/>
          <w:kern w:val="0"/>
          <w:sz w:val="30"/>
          <w:szCs w:val="30"/>
          <w:highlight w:val="none"/>
        </w:rPr>
        <w:t>人，退休</w:t>
      </w:r>
      <w:r>
        <w:rPr>
          <w:rFonts w:ascii="仿宋_GB2312" w:eastAsia="仿宋_GB2312" w:hAnsi="宋体" w:cs="Arial" w:hint="eastAsia"/>
          <w:kern w:val="0"/>
          <w:sz w:val="30"/>
          <w:szCs w:val="30"/>
          <w:highlight w:val="none"/>
          <w:lang w:val="en-US" w:eastAsia="zh-CN"/>
        </w:rPr>
        <w:t>20</w:t>
      </w:r>
      <w:r>
        <w:rPr>
          <w:rFonts w:ascii="仿宋_GB2312" w:eastAsia="仿宋_GB2312" w:hAnsi="宋体" w:cs="Arial" w:hint="eastAsia"/>
          <w:kern w:val="0"/>
          <w:sz w:val="30"/>
          <w:szCs w:val="30"/>
          <w:highlight w:val="none"/>
        </w:rPr>
        <w:t>人。</w:t>
      </w:r>
    </w:p>
    <w:p>
      <w:pPr>
        <w:spacing w:line="600" w:lineRule="exact"/>
        <w:ind w:firstLine="600" w:firstLineChars="200"/>
        <w:rPr>
          <w:rFonts w:ascii="仿宋_GB2312" w:eastAsia="仿宋_GB2312" w:hAnsi="宋体" w:cs="Arial" w:hint="eastAsia"/>
          <w:kern w:val="0"/>
          <w:sz w:val="30"/>
          <w:szCs w:val="30"/>
        </w:rPr>
      </w:pPr>
      <w:r>
        <w:rPr>
          <w:rFonts w:ascii="仿宋_GB2312" w:eastAsia="仿宋_GB2312" w:hAnsi="宋体" w:cs="Arial" w:hint="eastAsia"/>
          <w:kern w:val="0"/>
          <w:sz w:val="30"/>
          <w:szCs w:val="30"/>
        </w:rPr>
        <w:t>实有车辆编制</w:t>
      </w:r>
      <w:r>
        <w:rPr>
          <w:rFonts w:ascii="仿宋_GB2312" w:eastAsia="仿宋_GB2312" w:hint="eastAsia"/>
          <w:sz w:val="30"/>
          <w:szCs w:val="30"/>
          <w:lang w:val="en-US" w:eastAsia="zh-CN"/>
        </w:rPr>
        <w:t>2</w:t>
      </w:r>
      <w:r>
        <w:rPr>
          <w:rFonts w:ascii="仿宋_GB2312" w:eastAsia="仿宋_GB2312" w:hAnsi="宋体" w:cs="Arial" w:hint="eastAsia"/>
          <w:kern w:val="0"/>
          <w:sz w:val="30"/>
          <w:szCs w:val="30"/>
        </w:rPr>
        <w:t>辆，在编实有车辆</w:t>
      </w:r>
      <w:r>
        <w:rPr>
          <w:rFonts w:ascii="仿宋_GB2312" w:eastAsia="仿宋_GB2312" w:hint="eastAsia"/>
          <w:sz w:val="30"/>
          <w:szCs w:val="30"/>
          <w:lang w:val="en-US" w:eastAsia="zh-CN"/>
        </w:rPr>
        <w:t>2</w:t>
      </w:r>
      <w:r>
        <w:rPr>
          <w:rFonts w:ascii="仿宋_GB2312" w:eastAsia="仿宋_GB2312" w:hAnsi="宋体" w:cs="Arial" w:hint="eastAsia"/>
          <w:kern w:val="0"/>
          <w:sz w:val="30"/>
          <w:szCs w:val="30"/>
        </w:rPr>
        <w:t>辆。</w:t>
      </w:r>
    </w:p>
    <w:p>
      <w:pPr>
        <w:jc w:val="center"/>
        <w:rPr>
          <w:rFonts w:ascii="黑体" w:eastAsia="黑体" w:hAnsi="黑体" w:hint="eastAsia"/>
          <w:sz w:val="32"/>
          <w:szCs w:val="32"/>
          <w:lang w:eastAsia="zh-CN"/>
        </w:rPr>
      </w:pPr>
      <w:r>
        <w:rPr>
          <w:rFonts w:ascii="黑体" w:eastAsia="黑体" w:hAnsi="黑体" w:hint="eastAsia"/>
          <w:sz w:val="32"/>
          <w:szCs w:val="32"/>
          <w:lang w:eastAsia="zh-CN"/>
        </w:rPr>
        <w:drawing>
          <wp:inline distT="0" distB="0" distL="114300" distR="114300">
            <wp:extent cx="5610225" cy="2595245"/>
            <wp:effectExtent l="0" t="0" r="9525" b="14605"/>
            <wp:docPr id="1" name="图片 1" descr="人员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960332" name="图片 1" descr="人员情况表"/>
                    <pic:cNvPicPr>
                      <a:picLocks noChangeAspect="1"/>
                    </pic:cNvPicPr>
                  </pic:nvPicPr>
                  <pic:blipFill>
                    <a:blip xmlns:r="http://schemas.openxmlformats.org/officeDocument/2006/relationships" r:embed="rId5"/>
                    <a:stretch>
                      <a:fillRect/>
                    </a:stretch>
                  </pic:blipFill>
                  <pic:spPr>
                    <a:xfrm>
                      <a:off x="0" y="0"/>
                      <a:ext cx="5610225" cy="2595245"/>
                    </a:xfrm>
                    <a:prstGeom prst="rect">
                      <a:avLst/>
                    </a:prstGeom>
                    <a:noFill/>
                    <a:ln>
                      <a:noFill/>
                    </a:ln>
                  </pic:spPr>
                </pic:pic>
              </a:graphicData>
            </a:graphic>
          </wp:inline>
        </w:drawing>
      </w:r>
    </w:p>
    <w:p>
      <w:pPr>
        <w:jc w:val="center"/>
        <w:rPr>
          <w:rFonts w:ascii="黑体" w:eastAsia="黑体" w:hAnsi="黑体" w:hint="eastAsia"/>
          <w:sz w:val="32"/>
          <w:szCs w:val="32"/>
        </w:rPr>
      </w:pPr>
      <w:r>
        <w:rPr>
          <w:rFonts w:ascii="黑体" w:eastAsia="黑体" w:hAnsi="黑体" w:hint="eastAsia"/>
          <w:sz w:val="32"/>
          <w:szCs w:val="32"/>
        </w:rPr>
        <w:t xml:space="preserve">第二部分  </w:t>
      </w:r>
      <w:r>
        <w:rPr>
          <w:rFonts w:ascii="黑体" w:eastAsia="黑体" w:hAnsi="黑体" w:hint="eastAsia"/>
          <w:sz w:val="32"/>
          <w:szCs w:val="32"/>
          <w:lang w:val="en-US" w:eastAsia="zh-CN"/>
        </w:rPr>
        <w:t>2019</w:t>
      </w:r>
      <w:r>
        <w:rPr>
          <w:rFonts w:ascii="黑体" w:eastAsia="黑体" w:hAnsi="黑体" w:hint="eastAsia"/>
          <w:sz w:val="32"/>
          <w:szCs w:val="32"/>
        </w:rPr>
        <w:t>年度部门决算表</w:t>
      </w:r>
    </w:p>
    <w:p>
      <w:pPr>
        <w:spacing w:line="600" w:lineRule="exact"/>
        <w:ind w:firstLine="600" w:firstLineChars="200"/>
        <w:jc w:val="center"/>
        <w:rPr>
          <w:rFonts w:ascii="仿宋_GB2312" w:eastAsia="仿宋_GB2312" w:hint="eastAsia"/>
          <w:sz w:val="30"/>
          <w:szCs w:val="30"/>
        </w:rPr>
      </w:pPr>
      <w:r>
        <w:rPr>
          <w:rFonts w:ascii="仿宋_GB2312" w:eastAsia="仿宋_GB2312" w:hint="eastAsia"/>
          <w:sz w:val="30"/>
          <w:szCs w:val="30"/>
        </w:rPr>
        <w:t>（详见附件）</w:t>
      </w:r>
    </w:p>
    <w:p>
      <w:pPr>
        <w:spacing w:line="600" w:lineRule="exact"/>
        <w:ind w:firstLine="600" w:firstLineChars="200"/>
        <w:jc w:val="center"/>
        <w:rPr>
          <w:rFonts w:ascii="仿宋_GB2312" w:eastAsia="仿宋_GB2312" w:hint="eastAsia"/>
          <w:sz w:val="30"/>
          <w:szCs w:val="30"/>
        </w:rPr>
      </w:pPr>
    </w:p>
    <w:p>
      <w:pPr>
        <w:jc w:val="center"/>
        <w:rPr>
          <w:rFonts w:ascii="黑体" w:eastAsia="黑体" w:hAnsi="黑体" w:hint="eastAsia"/>
          <w:sz w:val="32"/>
          <w:szCs w:val="32"/>
        </w:rPr>
      </w:pPr>
      <w:r>
        <w:rPr>
          <w:rFonts w:ascii="黑体" w:eastAsia="黑体" w:hAnsi="黑体" w:hint="eastAsia"/>
          <w:sz w:val="32"/>
          <w:szCs w:val="32"/>
        </w:rPr>
        <w:t>第三部</w:t>
      </w:r>
      <w:r>
        <w:rPr>
          <w:rFonts w:ascii="黑体" w:eastAsia="黑体" w:hAnsi="黑体" w:hint="eastAsia"/>
          <w:sz w:val="32"/>
          <w:szCs w:val="32"/>
          <w:lang w:eastAsia="zh-CN"/>
        </w:rPr>
        <w:t>分</w:t>
      </w:r>
      <w:r>
        <w:rPr>
          <w:rFonts w:ascii="黑体" w:eastAsia="黑体" w:hAnsi="黑体" w:hint="eastAsia"/>
          <w:sz w:val="32"/>
          <w:szCs w:val="32"/>
        </w:rPr>
        <w:t xml:space="preserve">  </w:t>
      </w:r>
      <w:r>
        <w:rPr>
          <w:rFonts w:ascii="黑体" w:eastAsia="黑体" w:hAnsi="黑体" w:hint="eastAsia"/>
          <w:sz w:val="32"/>
          <w:szCs w:val="32"/>
          <w:lang w:val="en-US" w:eastAsia="zh-CN"/>
        </w:rPr>
        <w:t>2019</w:t>
      </w:r>
      <w:r>
        <w:rPr>
          <w:rFonts w:ascii="黑体" w:eastAsia="黑体" w:hAnsi="黑体" w:hint="eastAsia"/>
          <w:sz w:val="32"/>
          <w:szCs w:val="32"/>
        </w:rPr>
        <w:t>年度部门决算情况说明</w:t>
      </w:r>
    </w:p>
    <w:p>
      <w:pPr>
        <w:ind w:firstLine="600" w:firstLineChars="200"/>
        <w:jc w:val="left"/>
        <w:rPr>
          <w:rFonts w:ascii="黑体" w:eastAsia="黑体" w:hAnsi="黑体" w:hint="eastAsia"/>
          <w:sz w:val="30"/>
          <w:szCs w:val="30"/>
        </w:rPr>
      </w:pPr>
      <w:r>
        <w:rPr>
          <w:rFonts w:ascii="黑体" w:eastAsia="黑体" w:hAnsi="黑体" w:hint="eastAsia"/>
          <w:sz w:val="30"/>
          <w:szCs w:val="30"/>
        </w:rPr>
        <w:t>一、收入决算情况说明</w:t>
      </w:r>
    </w:p>
    <w:p>
      <w:pPr>
        <w:widowControl/>
        <w:snapToGrid w:val="0"/>
        <w:spacing w:before="100" w:after="100" w:line="600" w:lineRule="exact"/>
        <w:ind w:firstLine="538"/>
        <w:jc w:val="left"/>
        <w:rPr>
          <w:rFonts w:ascii="仿宋_GB2312" w:eastAsia="仿宋_GB2312" w:hint="eastAsia"/>
          <w:sz w:val="30"/>
          <w:szCs w:val="30"/>
          <w:highlight w:val="none"/>
          <w:lang w:eastAsia="zh-CN"/>
        </w:rPr>
      </w:pPr>
      <w:r>
        <w:rPr>
          <w:rFonts w:ascii="仿宋_GB2312" w:eastAsia="仿宋_GB2312" w:hint="eastAsia"/>
          <w:sz w:val="30"/>
          <w:szCs w:val="30"/>
          <w:highlight w:val="none"/>
          <w:lang w:eastAsia="zh-CN"/>
        </w:rPr>
        <w:t>云南省迪庆州水务局2019年度收入合计36,696.71万元。其中：财政拨款收入36,680.61万元，占总收入的99.96%；上级补助收入0万元，占总收入的0%；事业收入0万元，占总收入的0%；经营收入0万元，占总收入的0%；附属单位缴款收入0万元，占总收入的0%；其他收入16.1万元，占总收入的0.04%。</w:t>
      </w:r>
    </w:p>
    <w:p>
      <w:pPr>
        <w:widowControl/>
        <w:snapToGrid w:val="0"/>
        <w:spacing w:before="100" w:after="100" w:line="600" w:lineRule="exact"/>
        <w:ind w:firstLine="538"/>
        <w:jc w:val="left"/>
        <w:rPr>
          <w:rFonts w:ascii="仿宋_GB2312" w:eastAsia="仿宋_GB2312" w:hint="eastAsia"/>
          <w:color w:val="000000"/>
          <w:sz w:val="30"/>
          <w:szCs w:val="30"/>
          <w:highlight w:val="none"/>
          <w:lang w:val="en-US" w:eastAsia="zh-CN"/>
        </w:rPr>
      </w:pPr>
      <w:r>
        <w:rPr>
          <w:rFonts w:ascii="仿宋_GB2312" w:eastAsia="仿宋_GB2312" w:hint="eastAsia"/>
          <w:color w:val="000000"/>
          <w:sz w:val="30"/>
          <w:szCs w:val="30"/>
          <w:highlight w:val="none"/>
          <w:lang w:eastAsia="zh-CN"/>
        </w:rPr>
        <w:t>与上年对比情况：2018年度收入合计1683.85万元，</w:t>
      </w:r>
      <w:r>
        <w:rPr>
          <w:rFonts w:ascii="仿宋_GB2312" w:eastAsia="仿宋_GB2312" w:hint="eastAsia"/>
          <w:color w:val="000000"/>
          <w:sz w:val="30"/>
          <w:szCs w:val="30"/>
          <w:highlight w:val="none"/>
          <w:lang w:val="en-US" w:eastAsia="zh-CN"/>
        </w:rPr>
        <w:t>2019年较2018年增加35012.86万元，增长2079.33%。</w:t>
      </w:r>
      <w:r>
        <w:rPr>
          <w:rFonts w:ascii="仿宋_GB2312" w:eastAsia="仿宋_GB2312" w:hint="eastAsia"/>
          <w:color w:val="000000"/>
          <w:sz w:val="30"/>
          <w:szCs w:val="30"/>
          <w:highlight w:val="none"/>
          <w:lang w:eastAsia="zh-CN"/>
        </w:rPr>
        <w:t>其中：</w:t>
      </w:r>
      <w:r>
        <w:rPr>
          <w:rFonts w:ascii="仿宋_GB2312" w:eastAsia="仿宋_GB2312" w:hint="eastAsia"/>
          <w:color w:val="000000"/>
          <w:sz w:val="30"/>
          <w:szCs w:val="30"/>
          <w:highlight w:val="none"/>
          <w:lang w:val="en-US" w:eastAsia="zh-CN"/>
        </w:rPr>
        <w:t>2018年</w:t>
      </w:r>
      <w:r>
        <w:rPr>
          <w:rFonts w:ascii="仿宋_GB2312" w:eastAsia="仿宋_GB2312" w:hint="eastAsia"/>
          <w:color w:val="000000"/>
          <w:sz w:val="30"/>
          <w:szCs w:val="30"/>
          <w:highlight w:val="none"/>
          <w:lang w:eastAsia="zh-CN"/>
        </w:rPr>
        <w:t>财政拨款收入1675.85万元，</w:t>
      </w:r>
      <w:r>
        <w:rPr>
          <w:rFonts w:ascii="仿宋_GB2312" w:eastAsia="仿宋_GB2312" w:hint="eastAsia"/>
          <w:color w:val="000000"/>
          <w:sz w:val="30"/>
          <w:szCs w:val="30"/>
          <w:highlight w:val="none"/>
          <w:lang w:val="en-US" w:eastAsia="zh-CN"/>
        </w:rPr>
        <w:t>2019年较2018年增加35004.76万元，增长2088.78%，主要是因为2019年新增城镇防洪财政拨款收入35018万元，而上年度未发生基建项目的收支</w:t>
      </w:r>
      <w:r>
        <w:rPr>
          <w:rFonts w:ascii="仿宋_GB2312" w:eastAsia="仿宋_GB2312" w:hint="eastAsia"/>
          <w:color w:val="000000"/>
          <w:sz w:val="30"/>
          <w:szCs w:val="30"/>
          <w:highlight w:val="none"/>
          <w:lang w:eastAsia="zh-CN"/>
        </w:rPr>
        <w:t>；</w:t>
      </w:r>
      <w:r>
        <w:rPr>
          <w:rFonts w:ascii="仿宋_GB2312" w:eastAsia="仿宋_GB2312" w:hint="eastAsia"/>
          <w:color w:val="000000"/>
          <w:sz w:val="30"/>
          <w:szCs w:val="30"/>
          <w:highlight w:val="none"/>
          <w:lang w:val="en-US" w:eastAsia="zh-CN"/>
        </w:rPr>
        <w:t>2018年</w:t>
      </w:r>
      <w:r>
        <w:rPr>
          <w:rFonts w:ascii="仿宋_GB2312" w:eastAsia="仿宋_GB2312" w:hint="eastAsia"/>
          <w:color w:val="000000"/>
          <w:sz w:val="30"/>
          <w:szCs w:val="30"/>
          <w:highlight w:val="none"/>
          <w:lang w:eastAsia="zh-CN"/>
        </w:rPr>
        <w:t>其他收入8万元，</w:t>
      </w:r>
      <w:r>
        <w:rPr>
          <w:rFonts w:ascii="仿宋_GB2312" w:eastAsia="仿宋_GB2312" w:hint="eastAsia"/>
          <w:color w:val="000000"/>
          <w:sz w:val="30"/>
          <w:szCs w:val="30"/>
          <w:highlight w:val="none"/>
          <w:lang w:val="en-US" w:eastAsia="zh-CN"/>
        </w:rPr>
        <w:t>2019年较2018年增加8.1万元，增长101.25%。主要是2019年由省水利厅拨入的桑那小流域监测点运行管理经费增加。</w:t>
      </w:r>
    </w:p>
    <w:p>
      <w:pPr>
        <w:widowControl/>
        <w:snapToGrid w:val="0"/>
        <w:spacing w:before="100" w:after="100" w:line="240" w:lineRule="auto"/>
        <w:ind w:firstLine="538"/>
        <w:jc w:val="left"/>
        <w:rPr>
          <w:rFonts w:ascii="仿宋_GB2312" w:eastAsia="仿宋_GB2312" w:hint="eastAsia"/>
          <w:color w:val="000000"/>
          <w:sz w:val="30"/>
          <w:szCs w:val="30"/>
          <w:highlight w:val="none"/>
          <w:lang w:val="en-US" w:eastAsia="zh-CN"/>
        </w:rPr>
      </w:pPr>
      <w:r>
        <w:rPr>
          <w:rFonts w:ascii="仿宋_GB2312" w:eastAsia="仿宋_GB2312" w:hint="eastAsia"/>
          <w:color w:val="000000"/>
          <w:sz w:val="30"/>
          <w:szCs w:val="30"/>
          <w:highlight w:val="none"/>
          <w:lang w:val="en-US" w:eastAsia="zh-CN"/>
        </w:rPr>
        <w:drawing>
          <wp:inline distT="0" distB="0" distL="114300" distR="114300">
            <wp:extent cx="4614545" cy="2755265"/>
            <wp:effectExtent l="0" t="0" r="14605" b="6985"/>
            <wp:docPr id="2" name="图片 2" descr="收入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878585" name="图片 2" descr="收入情况表"/>
                    <pic:cNvPicPr>
                      <a:picLocks noChangeAspect="1"/>
                    </pic:cNvPicPr>
                  </pic:nvPicPr>
                  <pic:blipFill>
                    <a:blip xmlns:r="http://schemas.openxmlformats.org/officeDocument/2006/relationships" r:embed="rId6"/>
                    <a:stretch>
                      <a:fillRect/>
                    </a:stretch>
                  </pic:blipFill>
                  <pic:spPr>
                    <a:xfrm>
                      <a:off x="0" y="0"/>
                      <a:ext cx="4614545" cy="2755265"/>
                    </a:xfrm>
                    <a:prstGeom prst="rect">
                      <a:avLst/>
                    </a:prstGeom>
                    <a:noFill/>
                    <a:ln>
                      <a:noFill/>
                    </a:ln>
                  </pic:spPr>
                </pic:pic>
              </a:graphicData>
            </a:graphic>
          </wp:inline>
        </w:drawing>
      </w:r>
    </w:p>
    <w:p>
      <w:pPr>
        <w:ind w:firstLine="600" w:firstLineChars="200"/>
        <w:jc w:val="left"/>
        <w:rPr>
          <w:rFonts w:ascii="黑体" w:eastAsia="黑体" w:hAnsi="黑体" w:hint="eastAsia"/>
          <w:sz w:val="30"/>
          <w:szCs w:val="30"/>
        </w:rPr>
      </w:pPr>
      <w:r>
        <w:rPr>
          <w:rFonts w:ascii="黑体" w:eastAsia="黑体" w:hAnsi="黑体" w:hint="eastAsia"/>
          <w:sz w:val="30"/>
          <w:szCs w:val="30"/>
        </w:rPr>
        <w:t>二、支出决算情况说明</w:t>
      </w:r>
    </w:p>
    <w:p>
      <w:pPr>
        <w:spacing w:line="600" w:lineRule="exact"/>
        <w:ind w:firstLine="600" w:firstLineChars="200"/>
        <w:rPr>
          <w:rFonts w:ascii="仿宋_GB2312" w:eastAsia="仿宋_GB2312" w:hint="eastAsia"/>
          <w:sz w:val="30"/>
          <w:szCs w:val="30"/>
        </w:rPr>
      </w:pPr>
      <w:r>
        <w:rPr>
          <w:rFonts w:ascii="仿宋_GB2312" w:eastAsia="仿宋_GB2312" w:hint="eastAsia"/>
          <w:sz w:val="30"/>
          <w:szCs w:val="30"/>
        </w:rPr>
        <w:t>云南省迪庆州水务局部门2019年度支出合计5,437.24万元。其中：基本支出1,200.16万元，占总支出的22.07%；项目支出4,237.08万元，占总支出的77.93%；上缴上级支出、经营支出、对附属单位补助支出共0万元，占总支出的0%。</w:t>
      </w:r>
    </w:p>
    <w:p>
      <w:pPr>
        <w:spacing w:line="600" w:lineRule="exact"/>
        <w:ind w:firstLine="600" w:firstLineChars="200"/>
        <w:rPr>
          <w:rFonts w:ascii="仿宋_GB2312" w:eastAsia="仿宋_GB2312" w:hint="eastAsia"/>
          <w:sz w:val="30"/>
          <w:szCs w:val="30"/>
          <w:lang w:val="en-US" w:eastAsia="zh-CN"/>
        </w:rPr>
      </w:pPr>
      <w:r>
        <w:rPr>
          <w:rFonts w:ascii="仿宋_GB2312" w:eastAsia="仿宋_GB2312" w:hint="eastAsia"/>
          <w:sz w:val="30"/>
          <w:szCs w:val="30"/>
        </w:rPr>
        <w:t>与上年对比</w:t>
      </w:r>
      <w:r>
        <w:rPr>
          <w:rFonts w:ascii="仿宋_GB2312" w:eastAsia="仿宋_GB2312" w:hint="eastAsia"/>
          <w:sz w:val="30"/>
          <w:szCs w:val="30"/>
          <w:lang w:eastAsia="zh-CN"/>
        </w:rPr>
        <w:t>：2018年度支出合计1545.53万元，</w:t>
      </w:r>
      <w:r>
        <w:rPr>
          <w:rFonts w:ascii="仿宋_GB2312" w:eastAsia="仿宋_GB2312" w:hint="eastAsia"/>
          <w:sz w:val="30"/>
          <w:szCs w:val="30"/>
          <w:lang w:val="en-US" w:eastAsia="zh-CN"/>
        </w:rPr>
        <w:t>2019年较2018年增加3891.71万元，增长251.8%</w:t>
      </w:r>
      <w:r>
        <w:rPr>
          <w:rFonts w:ascii="仿宋_GB2312" w:eastAsia="仿宋_GB2312" w:hint="eastAsia"/>
          <w:sz w:val="30"/>
          <w:szCs w:val="30"/>
          <w:lang w:eastAsia="zh-CN"/>
        </w:rPr>
        <w:t>。其中：</w:t>
      </w:r>
      <w:r>
        <w:rPr>
          <w:rFonts w:ascii="仿宋_GB2312" w:eastAsia="仿宋_GB2312" w:hint="eastAsia"/>
          <w:sz w:val="30"/>
          <w:szCs w:val="30"/>
          <w:lang w:val="en-US" w:eastAsia="zh-CN"/>
        </w:rPr>
        <w:t>2018年</w:t>
      </w:r>
      <w:r>
        <w:rPr>
          <w:rFonts w:ascii="仿宋_GB2312" w:eastAsia="仿宋_GB2312" w:hint="eastAsia"/>
          <w:sz w:val="30"/>
          <w:szCs w:val="30"/>
          <w:lang w:eastAsia="zh-CN"/>
        </w:rPr>
        <w:t>基本支出1285.59万元，</w:t>
      </w:r>
      <w:r>
        <w:rPr>
          <w:rFonts w:ascii="仿宋_GB2312" w:eastAsia="仿宋_GB2312" w:hint="eastAsia"/>
          <w:sz w:val="30"/>
          <w:szCs w:val="30"/>
          <w:lang w:val="en-US" w:eastAsia="zh-CN"/>
        </w:rPr>
        <w:t>2019年较2018年减少85.43万元，降低6.65%。2018年</w:t>
      </w:r>
      <w:r>
        <w:rPr>
          <w:rFonts w:ascii="仿宋_GB2312" w:eastAsia="仿宋_GB2312" w:hint="eastAsia"/>
          <w:sz w:val="30"/>
          <w:szCs w:val="30"/>
          <w:lang w:eastAsia="zh-CN"/>
        </w:rPr>
        <w:t>项目支出259.94万元，</w:t>
      </w:r>
      <w:r>
        <w:rPr>
          <w:rFonts w:ascii="仿宋_GB2312" w:eastAsia="仿宋_GB2312" w:hint="eastAsia"/>
          <w:sz w:val="30"/>
          <w:szCs w:val="30"/>
          <w:lang w:val="en-US" w:eastAsia="zh-CN"/>
        </w:rPr>
        <w:t>2019年较2018年增加3977.14万元，增长1530.02%。主要是因为2019年较2018年增加了城镇防洪工程的基建支出3800万元。</w:t>
      </w:r>
    </w:p>
    <w:p>
      <w:pPr>
        <w:widowControl/>
        <w:snapToGrid w:val="0"/>
        <w:spacing w:before="100" w:after="100" w:line="240" w:lineRule="auto"/>
        <w:ind w:firstLine="600" w:firstLineChars="200"/>
        <w:jc w:val="left"/>
        <w:rPr>
          <w:rFonts w:ascii="楷体" w:eastAsia="楷体" w:hAnsi="楷体" w:hint="eastAsia"/>
          <w:sz w:val="30"/>
          <w:szCs w:val="30"/>
          <w:lang w:eastAsia="zh-CN"/>
        </w:rPr>
      </w:pPr>
      <w:r>
        <w:rPr>
          <w:rFonts w:ascii="楷体" w:eastAsia="楷体" w:hAnsi="楷体" w:hint="eastAsia"/>
          <w:sz w:val="30"/>
          <w:szCs w:val="30"/>
          <w:lang w:eastAsia="zh-CN"/>
        </w:rPr>
        <w:drawing>
          <wp:inline distT="0" distB="0" distL="114300" distR="114300">
            <wp:extent cx="4584065" cy="2755265"/>
            <wp:effectExtent l="0" t="0" r="6985" b="6985"/>
            <wp:docPr id="3" name="图片 3" descr="支出决算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866024" name="图片 3" descr="支出决算情况表"/>
                    <pic:cNvPicPr>
                      <a:picLocks noChangeAspect="1"/>
                    </pic:cNvPicPr>
                  </pic:nvPicPr>
                  <pic:blipFill>
                    <a:blip xmlns:r="http://schemas.openxmlformats.org/officeDocument/2006/relationships" r:embed="rId7"/>
                    <a:stretch>
                      <a:fillRect/>
                    </a:stretch>
                  </pic:blipFill>
                  <pic:spPr>
                    <a:xfrm>
                      <a:off x="0" y="0"/>
                      <a:ext cx="4584065" cy="2755265"/>
                    </a:xfrm>
                    <a:prstGeom prst="rect">
                      <a:avLst/>
                    </a:prstGeom>
                    <a:noFill/>
                    <a:ln>
                      <a:noFill/>
                    </a:ln>
                  </pic:spPr>
                </pic:pic>
              </a:graphicData>
            </a:graphic>
          </wp:inline>
        </w:drawing>
      </w:r>
    </w:p>
    <w:p>
      <w:pPr>
        <w:widowControl/>
        <w:snapToGrid w:val="0"/>
        <w:spacing w:before="100" w:after="100" w:line="600" w:lineRule="exact"/>
        <w:ind w:firstLine="600" w:firstLineChars="200"/>
        <w:jc w:val="left"/>
        <w:rPr>
          <w:rFonts w:ascii="楷体" w:eastAsia="楷体" w:hAnsi="楷体" w:hint="eastAsia"/>
          <w:sz w:val="30"/>
          <w:szCs w:val="30"/>
        </w:rPr>
      </w:pPr>
      <w:r>
        <w:rPr>
          <w:rFonts w:ascii="楷体" w:eastAsia="楷体" w:hAnsi="楷体" w:hint="eastAsia"/>
          <w:sz w:val="30"/>
          <w:szCs w:val="30"/>
        </w:rPr>
        <w:t>（一）基本支出情况</w:t>
      </w:r>
    </w:p>
    <w:p>
      <w:pPr>
        <w:widowControl/>
        <w:snapToGrid w:val="0"/>
        <w:spacing w:before="100" w:after="100" w:line="600" w:lineRule="exact"/>
        <w:ind w:firstLine="600" w:firstLineChars="200"/>
        <w:jc w:val="left"/>
        <w:rPr>
          <w:rFonts w:ascii="仿宋_GB2312" w:eastAsia="仿宋_GB2312" w:hint="eastAsia"/>
          <w:sz w:val="30"/>
          <w:szCs w:val="30"/>
        </w:rPr>
      </w:pPr>
      <w:r>
        <w:rPr>
          <w:rFonts w:ascii="仿宋_GB2312" w:eastAsia="仿宋_GB2312" w:hint="eastAsia"/>
          <w:sz w:val="30"/>
          <w:szCs w:val="30"/>
        </w:rPr>
        <w:t>2019年度用于保障云南省迪庆州水务局机关、下属事业单位等机构正常运转的日常支出1,200.16万元。包括基本工资、津贴补贴等人员经费支出占基本支出的95.77%；办公费、印刷费、水电费、办公设备购置等日常公用经费占基本支出的4.23%。</w:t>
      </w:r>
    </w:p>
    <w:p>
      <w:pPr>
        <w:widowControl/>
        <w:snapToGrid w:val="0"/>
        <w:spacing w:before="100" w:after="100" w:line="600" w:lineRule="exact"/>
        <w:ind w:firstLine="538"/>
        <w:jc w:val="left"/>
        <w:rPr>
          <w:rFonts w:ascii="仿宋_GB2312" w:eastAsia="仿宋_GB2312" w:hint="eastAsia"/>
          <w:sz w:val="30"/>
          <w:szCs w:val="30"/>
          <w:lang w:eastAsia="zh-CN"/>
        </w:rPr>
      </w:pPr>
      <w:r>
        <w:rPr>
          <w:rFonts w:ascii="仿宋_GB2312" w:eastAsia="仿宋_GB2312" w:hint="eastAsia"/>
          <w:sz w:val="30"/>
          <w:szCs w:val="30"/>
        </w:rPr>
        <w:t>与上年对比</w:t>
      </w:r>
      <w:r>
        <w:rPr>
          <w:rFonts w:ascii="仿宋_GB2312" w:eastAsia="仿宋_GB2312" w:hint="eastAsia"/>
          <w:sz w:val="30"/>
          <w:szCs w:val="30"/>
          <w:lang w:eastAsia="zh-CN"/>
        </w:rPr>
        <w:t>：2018年度用于保障迪庆州水务局机关、下属事业单位等机构正常运转的日常支出1285.59万元。</w:t>
      </w:r>
      <w:r>
        <w:rPr>
          <w:rFonts w:ascii="仿宋_GB2312" w:eastAsia="仿宋_GB2312" w:hint="eastAsia"/>
          <w:sz w:val="30"/>
          <w:szCs w:val="30"/>
          <w:lang w:val="en-US" w:eastAsia="zh-CN"/>
        </w:rPr>
        <w:t>2019年较2018年减少85.43万元，降低6.45%。</w:t>
      </w:r>
      <w:r>
        <w:rPr>
          <w:rFonts w:ascii="仿宋_GB2312" w:eastAsia="仿宋_GB2312" w:hint="eastAsia"/>
          <w:sz w:val="30"/>
          <w:szCs w:val="30"/>
          <w:lang w:eastAsia="zh-CN"/>
        </w:rPr>
        <w:t>主要原因是</w:t>
      </w:r>
      <w:r>
        <w:rPr>
          <w:rFonts w:ascii="仿宋_GB2312" w:eastAsia="仿宋_GB2312" w:hint="eastAsia"/>
          <w:sz w:val="30"/>
          <w:szCs w:val="30"/>
          <w:lang w:val="en-US" w:eastAsia="zh-CN"/>
        </w:rPr>
        <w:t>2019年较2018年补发工资津补贴的情况较少造成</w:t>
      </w:r>
      <w:r>
        <w:rPr>
          <w:rFonts w:ascii="仿宋_GB2312" w:eastAsia="仿宋_GB2312" w:hint="eastAsia"/>
          <w:sz w:val="30"/>
          <w:szCs w:val="30"/>
          <w:lang w:eastAsia="zh-CN"/>
        </w:rPr>
        <w:t>。</w:t>
      </w:r>
      <w:r>
        <w:rPr>
          <w:rFonts w:ascii="仿宋_GB2312" w:eastAsia="仿宋_GB2312" w:hint="eastAsia"/>
          <w:sz w:val="30"/>
          <w:szCs w:val="30"/>
          <w:lang w:val="en-US" w:eastAsia="zh-CN"/>
        </w:rPr>
        <w:t>2018年基本支出</w:t>
      </w:r>
      <w:r>
        <w:rPr>
          <w:rFonts w:ascii="仿宋_GB2312" w:eastAsia="仿宋_GB2312" w:hint="eastAsia"/>
          <w:sz w:val="30"/>
          <w:szCs w:val="30"/>
          <w:lang w:eastAsia="zh-CN"/>
        </w:rPr>
        <w:t>包括基本工资、津贴补贴等人员经费支出占基本支出的95.69％；办公费、印刷费、水电费、办公设备购置等日常公用经费占基本支出的4.31％。</w:t>
      </w:r>
    </w:p>
    <w:p>
      <w:pPr>
        <w:widowControl/>
        <w:snapToGrid w:val="0"/>
        <w:spacing w:before="100" w:after="100" w:line="240" w:lineRule="auto"/>
        <w:jc w:val="left"/>
        <w:rPr>
          <w:rFonts w:ascii="仿宋_GB2312" w:eastAsia="仿宋_GB2312" w:hint="eastAsia"/>
          <w:sz w:val="30"/>
          <w:szCs w:val="30"/>
          <w:lang w:eastAsia="zh-CN"/>
        </w:rPr>
      </w:pPr>
      <w:r>
        <w:rPr>
          <w:rFonts w:ascii="仿宋_GB2312" w:eastAsia="仿宋_GB2312" w:hint="eastAsia"/>
          <w:sz w:val="30"/>
          <w:szCs w:val="30"/>
          <w:lang w:eastAsia="zh-CN"/>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414020</wp:posOffset>
            </wp:positionV>
            <wp:extent cx="3021330" cy="1736725"/>
            <wp:effectExtent l="0" t="0" r="7620" b="15875"/>
            <wp:wrapTight wrapText="bothSides">
              <wp:wrapPolygon>
                <wp:start x="0" y="0"/>
                <wp:lineTo x="0" y="21324"/>
                <wp:lineTo x="21518" y="21324"/>
                <wp:lineTo x="21518" y="0"/>
                <wp:lineTo x="0" y="0"/>
              </wp:wrapPolygon>
            </wp:wrapTight>
            <wp:docPr id="4" name="图片 2" descr="2018年基本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02406" name="图片 2" descr="2018年基本支出"/>
                    <pic:cNvPicPr>
                      <a:picLocks noChangeAspect="1"/>
                    </pic:cNvPicPr>
                  </pic:nvPicPr>
                  <pic:blipFill>
                    <a:blip xmlns:r="http://schemas.openxmlformats.org/officeDocument/2006/relationships" r:embed="rId8"/>
                    <a:stretch>
                      <a:fillRect/>
                    </a:stretch>
                  </pic:blipFill>
                  <pic:spPr>
                    <a:xfrm>
                      <a:off x="0" y="0"/>
                      <a:ext cx="3021330" cy="1736725"/>
                    </a:xfrm>
                    <a:prstGeom prst="rect">
                      <a:avLst/>
                    </a:prstGeom>
                    <a:noFill/>
                    <a:ln>
                      <a:noFill/>
                    </a:ln>
                  </pic:spPr>
                </pic:pic>
              </a:graphicData>
            </a:graphic>
          </wp:anchor>
        </w:drawing>
      </w:r>
    </w:p>
    <w:p>
      <w:pPr>
        <w:widowControl/>
        <w:snapToGrid w:val="0"/>
        <w:spacing w:before="100" w:after="100" w:line="240" w:lineRule="auto"/>
        <w:jc w:val="left"/>
        <w:rPr>
          <w:rFonts w:ascii="仿宋_GB2312" w:eastAsia="仿宋_GB2312" w:hint="eastAsia"/>
          <w:sz w:val="30"/>
          <w:szCs w:val="30"/>
          <w:lang w:eastAsia="zh-CN"/>
        </w:rPr>
      </w:pPr>
      <w:r>
        <w:rPr>
          <w:rFonts w:ascii="仿宋_GB2312" w:eastAsia="仿宋_GB2312" w:hint="eastAsia"/>
          <w:sz w:val="30"/>
          <w:szCs w:val="30"/>
          <w:lang w:eastAsia="zh-CN"/>
        </w:rPr>
        <w:drawing>
          <wp:anchor distT="0" distB="0" distL="114300" distR="114300" simplePos="0" relativeHeight="251658240" behindDoc="1" locked="0" layoutInCell="1" allowOverlap="1">
            <wp:simplePos x="0" y="0"/>
            <wp:positionH relativeFrom="column">
              <wp:posOffset>-79375</wp:posOffset>
            </wp:positionH>
            <wp:positionV relativeFrom="paragraph">
              <wp:posOffset>103505</wp:posOffset>
            </wp:positionV>
            <wp:extent cx="2936240" cy="1736725"/>
            <wp:effectExtent l="0" t="0" r="16510" b="15875"/>
            <wp:wrapTight wrapText="bothSides">
              <wp:wrapPolygon>
                <wp:start x="0" y="0"/>
                <wp:lineTo x="0" y="21324"/>
                <wp:lineTo x="21441" y="21324"/>
                <wp:lineTo x="21441" y="0"/>
                <wp:lineTo x="0" y="0"/>
              </wp:wrapPolygon>
            </wp:wrapTight>
            <wp:docPr id="5" name="图片 3" descr="2019年基本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419672" name="图片 3" descr="2019年基本支出"/>
                    <pic:cNvPicPr>
                      <a:picLocks noChangeAspect="1"/>
                    </pic:cNvPicPr>
                  </pic:nvPicPr>
                  <pic:blipFill>
                    <a:blip xmlns:r="http://schemas.openxmlformats.org/officeDocument/2006/relationships" r:embed="rId9"/>
                    <a:stretch>
                      <a:fillRect/>
                    </a:stretch>
                  </pic:blipFill>
                  <pic:spPr>
                    <a:xfrm>
                      <a:off x="0" y="0"/>
                      <a:ext cx="2936240" cy="1736725"/>
                    </a:xfrm>
                    <a:prstGeom prst="rect">
                      <a:avLst/>
                    </a:prstGeom>
                    <a:noFill/>
                    <a:ln>
                      <a:noFill/>
                    </a:ln>
                  </pic:spPr>
                </pic:pic>
              </a:graphicData>
            </a:graphic>
          </wp:anchor>
        </w:drawing>
      </w:r>
    </w:p>
    <w:p>
      <w:pPr>
        <w:widowControl/>
        <w:snapToGrid w:val="0"/>
        <w:spacing w:before="100" w:after="100" w:line="600" w:lineRule="exact"/>
        <w:ind w:firstLine="600" w:firstLineChars="200"/>
        <w:jc w:val="left"/>
        <w:rPr>
          <w:rFonts w:ascii="楷体" w:eastAsia="楷体" w:hAnsi="楷体" w:hint="eastAsia"/>
          <w:sz w:val="30"/>
          <w:szCs w:val="30"/>
        </w:rPr>
      </w:pPr>
      <w:r>
        <w:rPr>
          <w:rFonts w:ascii="楷体" w:eastAsia="楷体" w:hAnsi="楷体" w:hint="eastAsia"/>
          <w:sz w:val="30"/>
          <w:szCs w:val="30"/>
        </w:rPr>
        <w:t>（二）项目支出情况</w:t>
      </w:r>
    </w:p>
    <w:p>
      <w:pPr>
        <w:widowControl/>
        <w:snapToGrid w:val="0"/>
        <w:spacing w:before="100" w:after="100" w:line="600" w:lineRule="exact"/>
        <w:ind w:firstLine="600" w:firstLineChars="200"/>
        <w:jc w:val="left"/>
        <w:rPr>
          <w:rFonts w:ascii="仿宋_GB2312" w:eastAsia="仿宋_GB2312" w:hint="eastAsia"/>
          <w:sz w:val="30"/>
          <w:szCs w:val="30"/>
        </w:rPr>
      </w:pPr>
      <w:r>
        <w:rPr>
          <w:rFonts w:ascii="仿宋_GB2312" w:eastAsia="仿宋_GB2312" w:hint="eastAsia"/>
          <w:sz w:val="30"/>
          <w:szCs w:val="30"/>
        </w:rPr>
        <w:t>2019年度用于保障云南省迪庆州水务局机构、下属事业单位等机构为完成特定的行政工作任务或事业发展目标，用于专项业务工作的经费支出4,237.08万元。</w:t>
      </w:r>
    </w:p>
    <w:p>
      <w:pPr>
        <w:spacing w:line="600" w:lineRule="exact"/>
        <w:ind w:firstLine="600" w:firstLineChars="200"/>
        <w:rPr>
          <w:rFonts w:ascii="仿宋_GB2312" w:eastAsia="仿宋_GB2312" w:hint="eastAsia"/>
          <w:sz w:val="30"/>
          <w:szCs w:val="30"/>
          <w:lang w:val="en-US" w:eastAsia="zh-CN"/>
        </w:rPr>
      </w:pPr>
      <w:r>
        <w:rPr>
          <w:rFonts w:ascii="仿宋_GB2312" w:eastAsia="仿宋_GB2312" w:hint="eastAsia"/>
          <w:sz w:val="30"/>
          <w:szCs w:val="30"/>
        </w:rPr>
        <w:t>与上年对比</w:t>
      </w:r>
      <w:r>
        <w:rPr>
          <w:rFonts w:ascii="仿宋_GB2312" w:eastAsia="仿宋_GB2312" w:hint="eastAsia"/>
          <w:sz w:val="30"/>
          <w:szCs w:val="30"/>
          <w:lang w:eastAsia="zh-CN"/>
        </w:rPr>
        <w:t>：2018年度用于保障迪庆州水务局机关、下属事业单位等机构为完成特定的行政工作任务或事业发展目标，用于专项业务工作的经费支出259.94万元。</w:t>
      </w:r>
      <w:r>
        <w:rPr>
          <w:rFonts w:ascii="仿宋_GB2312" w:eastAsia="仿宋_GB2312" w:hint="eastAsia"/>
          <w:sz w:val="30"/>
          <w:szCs w:val="30"/>
          <w:lang w:val="en-US" w:eastAsia="zh-CN"/>
        </w:rPr>
        <w:t>2019年较2018年增加3977.14万元，增长1530.02%，主要是因为2019年较2018年增加了城镇防洪工程的基建支出3800万元，主要是工程前期款项及一期工程款项、相关管理费用的支出。</w:t>
      </w:r>
    </w:p>
    <w:p>
      <w:pPr>
        <w:spacing w:line="240" w:lineRule="auto"/>
        <w:ind w:firstLine="600" w:firstLineChars="200"/>
        <w:rPr>
          <w:rFonts w:ascii="仿宋_GB2312" w:eastAsia="仿宋_GB2312" w:hint="eastAsia"/>
          <w:sz w:val="30"/>
          <w:szCs w:val="30"/>
          <w:lang w:val="en-US" w:eastAsia="zh-CN"/>
        </w:rPr>
      </w:pPr>
      <w:r>
        <w:rPr>
          <w:rFonts w:ascii="仿宋_GB2312" w:eastAsia="仿宋_GB2312" w:hint="eastAsia"/>
          <w:sz w:val="30"/>
          <w:szCs w:val="30"/>
          <w:lang w:val="en-US" w:eastAsia="zh-CN"/>
        </w:rPr>
        <w:drawing>
          <wp:inline distT="0" distB="0" distL="114300" distR="114300">
            <wp:extent cx="4584065" cy="2755265"/>
            <wp:effectExtent l="0" t="0" r="6985" b="6985"/>
            <wp:docPr id="6" name="图片 4" descr="项目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641168" name="图片 4" descr="项目支出表"/>
                    <pic:cNvPicPr>
                      <a:picLocks noChangeAspect="1"/>
                    </pic:cNvPicPr>
                  </pic:nvPicPr>
                  <pic:blipFill>
                    <a:blip xmlns:r="http://schemas.openxmlformats.org/officeDocument/2006/relationships" r:embed="rId10"/>
                    <a:stretch>
                      <a:fillRect/>
                    </a:stretch>
                  </pic:blipFill>
                  <pic:spPr>
                    <a:xfrm>
                      <a:off x="0" y="0"/>
                      <a:ext cx="4584065" cy="2755265"/>
                    </a:xfrm>
                    <a:prstGeom prst="rect">
                      <a:avLst/>
                    </a:prstGeom>
                    <a:noFill/>
                    <a:ln>
                      <a:noFill/>
                    </a:ln>
                  </pic:spPr>
                </pic:pic>
              </a:graphicData>
            </a:graphic>
          </wp:inline>
        </w:drawing>
      </w:r>
    </w:p>
    <w:p>
      <w:pPr>
        <w:widowControl/>
        <w:snapToGrid w:val="0"/>
        <w:spacing w:before="100" w:after="100" w:line="600" w:lineRule="exact"/>
        <w:ind w:firstLine="600" w:firstLineChars="200"/>
        <w:jc w:val="left"/>
        <w:rPr>
          <w:rFonts w:ascii="黑体" w:eastAsia="黑体" w:hAnsi="黑体" w:hint="eastAsia"/>
          <w:sz w:val="30"/>
          <w:szCs w:val="30"/>
        </w:rPr>
      </w:pPr>
      <w:r>
        <w:rPr>
          <w:rFonts w:ascii="黑体" w:eastAsia="黑体" w:hAnsi="黑体" w:hint="eastAsia"/>
          <w:sz w:val="30"/>
          <w:szCs w:val="30"/>
        </w:rPr>
        <w:t>三、一般公共预算财政拨款支出决算情况说明</w:t>
      </w:r>
    </w:p>
    <w:p>
      <w:pPr>
        <w:widowControl/>
        <w:snapToGrid w:val="0"/>
        <w:spacing w:before="100" w:after="100" w:line="600" w:lineRule="exact"/>
        <w:ind w:firstLine="600" w:firstLineChars="200"/>
        <w:jc w:val="left"/>
        <w:rPr>
          <w:rFonts w:ascii="楷体" w:eastAsia="楷体" w:hAnsi="楷体" w:hint="eastAsia"/>
          <w:sz w:val="30"/>
          <w:szCs w:val="30"/>
        </w:rPr>
      </w:pPr>
      <w:r>
        <w:rPr>
          <w:rFonts w:ascii="楷体" w:eastAsia="楷体" w:hAnsi="楷体" w:hint="eastAsia"/>
          <w:sz w:val="30"/>
          <w:szCs w:val="30"/>
        </w:rPr>
        <w:t>（一）一般公共预算财政拨款支出决算总体情况</w:t>
      </w:r>
    </w:p>
    <w:p>
      <w:pPr>
        <w:widowControl/>
        <w:snapToGrid w:val="0"/>
        <w:spacing w:before="100" w:after="100" w:line="600" w:lineRule="exact"/>
        <w:ind w:firstLine="600" w:firstLineChars="200"/>
        <w:jc w:val="left"/>
        <w:rPr>
          <w:rFonts w:ascii="仿宋_GB2312" w:eastAsia="仿宋_GB2312" w:hint="eastAsia"/>
          <w:color w:val="000000"/>
          <w:sz w:val="30"/>
          <w:szCs w:val="30"/>
          <w:lang w:val="en-US" w:eastAsia="zh-CN"/>
        </w:rPr>
      </w:pPr>
      <w:r>
        <w:rPr>
          <w:rFonts w:ascii="仿宋_GB2312" w:eastAsia="仿宋_GB2312" w:hint="eastAsia"/>
          <w:sz w:val="30"/>
          <w:szCs w:val="30"/>
        </w:rPr>
        <w:t>云南省迪庆州水务局部门2019年度一般公共预算财政拨款支出5,437.24万元,占本年支出合计的100%。</w:t>
      </w:r>
      <w:r>
        <w:rPr>
          <w:rFonts w:ascii="仿宋_GB2312" w:eastAsia="仿宋_GB2312" w:hint="eastAsia"/>
          <w:color w:val="000000"/>
          <w:sz w:val="30"/>
          <w:szCs w:val="30"/>
        </w:rPr>
        <w:t>与上年对比</w:t>
      </w:r>
      <w:r>
        <w:rPr>
          <w:rFonts w:ascii="仿宋_GB2312" w:eastAsia="仿宋_GB2312" w:hint="eastAsia"/>
          <w:color w:val="000000"/>
          <w:sz w:val="30"/>
          <w:szCs w:val="30"/>
          <w:lang w:eastAsia="zh-CN"/>
        </w:rPr>
        <w:t>：2018年度一般公共预算财政拨款支出1514.78万元,占支出合计的98.01%。</w:t>
      </w:r>
      <w:r>
        <w:rPr>
          <w:rFonts w:ascii="仿宋_GB2312" w:eastAsia="仿宋_GB2312" w:hint="eastAsia"/>
          <w:color w:val="000000"/>
          <w:sz w:val="30"/>
          <w:szCs w:val="30"/>
          <w:lang w:val="en-US" w:eastAsia="zh-CN"/>
        </w:rPr>
        <w:t>2019年较2018年增加3922.46万元，增长258.95%。主要是因为因为2019年较2018年增加了城镇防洪工程的基建支出3800万元。</w:t>
      </w:r>
    </w:p>
    <w:p>
      <w:pPr>
        <w:widowControl/>
        <w:snapToGrid w:val="0"/>
        <w:spacing w:before="100" w:after="100" w:line="600" w:lineRule="exact"/>
        <w:ind w:firstLine="600" w:firstLineChars="200"/>
        <w:jc w:val="left"/>
        <w:rPr>
          <w:rFonts w:ascii="楷体" w:eastAsia="楷体" w:hAnsi="楷体" w:hint="eastAsia"/>
          <w:sz w:val="30"/>
          <w:szCs w:val="30"/>
        </w:rPr>
      </w:pPr>
      <w:r>
        <w:rPr>
          <w:rFonts w:ascii="楷体" w:eastAsia="楷体" w:hAnsi="楷体" w:hint="eastAsia"/>
          <w:sz w:val="30"/>
          <w:szCs w:val="30"/>
        </w:rPr>
        <w:t>（二）一般公共预算财政拨款支出决算具体情况</w:t>
      </w:r>
      <w:r>
        <w:rPr>
          <w:rFonts w:ascii="楷体" w:eastAsia="楷体" w:hAnsi="楷体" w:hint="eastAsia"/>
          <w:sz w:val="30"/>
          <w:szCs w:val="30"/>
        </w:rPr>
        <w:tab/>
      </w:r>
      <w:r>
        <w:rPr>
          <w:rFonts w:ascii="楷体" w:eastAsia="楷体" w:hAnsi="楷体" w:hint="eastAsia"/>
          <w:sz w:val="30"/>
          <w:szCs w:val="30"/>
        </w:rPr>
        <w:tab/>
      </w:r>
      <w:r>
        <w:rPr>
          <w:rFonts w:ascii="楷体" w:eastAsia="楷体" w:hAnsi="楷体" w:hint="eastAsia"/>
          <w:sz w:val="30"/>
          <w:szCs w:val="30"/>
        </w:rPr>
        <w:tab/>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1.一般公共服务（类）支出11.91万元，占一般公共预算财政拨款总支出的0.22%。主要用于</w:t>
      </w:r>
      <w:r>
        <w:rPr>
          <w:rFonts w:ascii="仿宋_GB2312" w:eastAsia="仿宋_GB2312" w:hAnsi="宋体" w:cs="Arial" w:hint="eastAsia"/>
          <w:kern w:val="0"/>
          <w:sz w:val="30"/>
          <w:szCs w:val="30"/>
          <w:lang w:eastAsia="zh-CN"/>
        </w:rPr>
        <w:t>行政人员目标督查绩效支出</w:t>
      </w:r>
      <w:r>
        <w:rPr>
          <w:rFonts w:ascii="仿宋_GB2312" w:eastAsia="仿宋_GB2312" w:hAnsi="宋体" w:cs="Arial" w:hint="eastAsia"/>
          <w:kern w:val="0"/>
          <w:sz w:val="30"/>
          <w:szCs w:val="30"/>
          <w:lang w:val="en-US" w:eastAsia="zh-CN"/>
        </w:rPr>
        <w:t>10.55万元，办公取暖支出1.36万元</w:t>
      </w:r>
      <w:r>
        <w:rPr>
          <w:rFonts w:ascii="仿宋_GB2312" w:eastAsia="仿宋_GB2312" w:hAnsi="宋体" w:cs="Arial" w:hint="eastAsia"/>
          <w:kern w:val="0"/>
          <w:sz w:val="30"/>
          <w:szCs w:val="30"/>
        </w:rPr>
        <w:t>；</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2.外交（类）支出0万元，占一般公共预算财政拨款总支出的0%；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3.国防（类）支出0万元，占一般公共预算财政拨款总支出的0%；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4.公共安全（类）支出0万元，占一般公共预算财政拨款总支出的0%；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5.教育（类）支出0万元，占一般公共预算财政拨款总支出的0%；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6.科学技术（类）支出0万元，占一般公共预算财政拨款总支出的0%；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7.文化旅游体育与传媒（类）支出0万元，占一般公共预算财政拨款总支出的0%；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8.社会保障和就业（类）支出106.52万元，占一般公共预算财政拨款总支出的1.96%。主要用于</w:t>
      </w:r>
      <w:r>
        <w:rPr>
          <w:rFonts w:ascii="仿宋_GB2312" w:eastAsia="仿宋_GB2312" w:hAnsi="宋体" w:cs="Arial" w:hint="eastAsia"/>
          <w:kern w:val="0"/>
          <w:sz w:val="30"/>
          <w:szCs w:val="30"/>
          <w:lang w:eastAsia="zh-CN"/>
        </w:rPr>
        <w:t>机关事业单位养老保险缴费</w:t>
      </w:r>
      <w:r>
        <w:rPr>
          <w:rFonts w:ascii="仿宋_GB2312" w:eastAsia="仿宋_GB2312" w:hAnsi="宋体" w:cs="Arial" w:hint="eastAsia"/>
          <w:kern w:val="0"/>
          <w:sz w:val="30"/>
          <w:szCs w:val="30"/>
          <w:lang w:val="en-US" w:eastAsia="zh-CN"/>
        </w:rPr>
        <w:t>103.8万元，退休人员公用经费2.72万元</w:t>
      </w:r>
      <w:r>
        <w:rPr>
          <w:rFonts w:ascii="仿宋_GB2312" w:eastAsia="仿宋_GB2312" w:hAnsi="宋体" w:cs="Arial" w:hint="eastAsia"/>
          <w:kern w:val="0"/>
          <w:sz w:val="30"/>
          <w:szCs w:val="30"/>
        </w:rPr>
        <w:t>；</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9.卫生健康（类）支出87.71万元，占一般公共预算财政拨款总支出的1.61%。主要用于</w:t>
      </w:r>
      <w:r>
        <w:rPr>
          <w:rFonts w:ascii="仿宋_GB2312" w:eastAsia="仿宋_GB2312" w:hAnsi="宋体" w:cs="Arial" w:hint="eastAsia"/>
          <w:kern w:val="0"/>
          <w:sz w:val="30"/>
          <w:szCs w:val="30"/>
          <w:lang w:eastAsia="zh-CN"/>
        </w:rPr>
        <w:t>基本医疗缴费</w:t>
      </w:r>
      <w:r>
        <w:rPr>
          <w:rFonts w:ascii="仿宋_GB2312" w:eastAsia="仿宋_GB2312" w:hAnsi="宋体" w:cs="Arial" w:hint="eastAsia"/>
          <w:kern w:val="0"/>
          <w:sz w:val="30"/>
          <w:szCs w:val="30"/>
          <w:lang w:val="en-US" w:eastAsia="zh-CN"/>
        </w:rPr>
        <w:t>47.86万元，公务员医疗缴费36.4万元，其他社保缴费1.01万元，体检费2.45万元</w:t>
      </w:r>
      <w:r>
        <w:rPr>
          <w:rFonts w:ascii="仿宋_GB2312" w:eastAsia="仿宋_GB2312" w:hAnsi="宋体" w:cs="Arial" w:hint="eastAsia"/>
          <w:kern w:val="0"/>
          <w:sz w:val="30"/>
          <w:szCs w:val="30"/>
        </w:rPr>
        <w:t>；</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10.节能环保（类）支出0万元，占一般公共预算财政拨款总支出的0%；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11.城乡社区（类）支出0万元，占一般公共预算财政拨款总支出的0%；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12.农林水（类）支出5,155.93万元，占一般公共预算财政拨款总支出的94.83%。主要用于</w:t>
      </w:r>
      <w:r>
        <w:rPr>
          <w:rFonts w:ascii="仿宋_GB2312" w:eastAsia="仿宋_GB2312" w:hAnsi="宋体" w:cs="Arial" w:hint="eastAsia"/>
          <w:kern w:val="0"/>
          <w:sz w:val="30"/>
          <w:szCs w:val="30"/>
          <w:lang w:eastAsia="zh-CN"/>
        </w:rPr>
        <w:t>工资福利支出</w:t>
      </w:r>
      <w:r>
        <w:rPr>
          <w:rFonts w:ascii="仿宋_GB2312" w:eastAsia="仿宋_GB2312" w:hAnsi="宋体" w:cs="Arial" w:hint="eastAsia"/>
          <w:kern w:val="0"/>
          <w:sz w:val="30"/>
          <w:szCs w:val="30"/>
          <w:lang w:val="en-US" w:eastAsia="zh-CN"/>
        </w:rPr>
        <w:t>870.3万元，商品服务支出306.54万元，对个人和家庭支出1.87万元，基本建设支出3800万元资本性支出177.23万元</w:t>
      </w:r>
      <w:r>
        <w:rPr>
          <w:rFonts w:ascii="仿宋_GB2312" w:eastAsia="仿宋_GB2312" w:hAnsi="宋体" w:cs="Arial" w:hint="eastAsia"/>
          <w:kern w:val="0"/>
          <w:sz w:val="30"/>
          <w:szCs w:val="30"/>
        </w:rPr>
        <w:t>；</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13.交通运输（类）支出0万元，占一般公共预算财政拨款总支出的0%；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14.资源勘探信息等（类）支出0万元，占一般公共预算财政拨款总支出的0%；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15.商业服务业等（类）支出0万元，占一般公共预算财政拨款总支出的0%；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16.金融（类）支出0万元，占一般公共预算财政拨款总支出的0%；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17.援助其他地区（类）支出0万元，占一般公共预算财政拨款总支出的0%；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18.自然资源海洋气象等（类）支出0万元，占一般公共预算财政拨款总支出的0%；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19.住房保障（类）支出75.17万元，占一般公共预算财政拨款总支出的1.38%。主要用于</w:t>
      </w:r>
      <w:r>
        <w:rPr>
          <w:rFonts w:ascii="仿宋_GB2312" w:eastAsia="仿宋_GB2312" w:hAnsi="宋体" w:cs="Arial" w:hint="eastAsia"/>
          <w:kern w:val="0"/>
          <w:sz w:val="30"/>
          <w:szCs w:val="30"/>
          <w:lang w:eastAsia="zh-CN"/>
        </w:rPr>
        <w:t>住房公积金的缴纳</w:t>
      </w:r>
      <w:r>
        <w:rPr>
          <w:rFonts w:ascii="仿宋_GB2312" w:eastAsia="仿宋_GB2312" w:hAnsi="宋体" w:cs="Arial" w:hint="eastAsia"/>
          <w:kern w:val="0"/>
          <w:sz w:val="30"/>
          <w:szCs w:val="30"/>
        </w:rPr>
        <w:t>；</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20.粮油物资储备（类）支出0万元，占一般公共预算财政拨款总支出的0%；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21.灾害防治及应急管理（类）支出0万元，占一般公共预算财政拨款总支出的0%；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22.其他（类）支出0万元，占一般公共预算财政拨款总支出的0%；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23.债务还本（类）支出0万元，占一般公共预算财政拨款总支出的0%；</w:t>
      </w:r>
    </w:p>
    <w:p>
      <w:pPr>
        <w:widowControl/>
        <w:snapToGrid w:val="0"/>
        <w:spacing w:before="100" w:after="100" w:line="360" w:lineRule="auto"/>
        <w:ind w:firstLine="600" w:firstLineChars="2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24.债务付息（类）支出0万元，占一般公共预算财政拨款总支出的0%；</w:t>
      </w:r>
    </w:p>
    <w:p>
      <w:pPr>
        <w:widowControl/>
        <w:snapToGrid w:val="0"/>
        <w:spacing w:before="100" w:after="100" w:line="360" w:lineRule="auto"/>
        <w:ind w:firstLine="600" w:firstLineChars="200"/>
        <w:jc w:val="left"/>
        <w:rPr>
          <w:rFonts w:ascii="黑体" w:eastAsia="黑体" w:hAnsi="黑体" w:hint="eastAsia"/>
          <w:sz w:val="30"/>
          <w:szCs w:val="30"/>
          <w:lang w:eastAsia="zh-CN"/>
        </w:rPr>
      </w:pPr>
      <w:r>
        <w:rPr>
          <w:rFonts w:ascii="黑体" w:eastAsia="黑体" w:hAnsi="黑体" w:hint="eastAsia"/>
          <w:sz w:val="30"/>
          <w:szCs w:val="30"/>
          <w:lang w:eastAsia="zh-CN"/>
        </w:rPr>
        <w:drawing>
          <wp:inline distT="0" distB="0" distL="114300" distR="114300">
            <wp:extent cx="4584065" cy="2755265"/>
            <wp:effectExtent l="0" t="0" r="6985" b="6985"/>
            <wp:docPr id="7" name="图片 5" descr="一般公共预算财政拨款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30075" name="图片 5" descr="一般公共预算财政拨款支出"/>
                    <pic:cNvPicPr>
                      <a:picLocks noChangeAspect="1"/>
                    </pic:cNvPicPr>
                  </pic:nvPicPr>
                  <pic:blipFill>
                    <a:blip xmlns:r="http://schemas.openxmlformats.org/officeDocument/2006/relationships" r:embed="rId11"/>
                    <a:stretch>
                      <a:fillRect/>
                    </a:stretch>
                  </pic:blipFill>
                  <pic:spPr>
                    <a:xfrm>
                      <a:off x="0" y="0"/>
                      <a:ext cx="4584065" cy="2755265"/>
                    </a:xfrm>
                    <a:prstGeom prst="rect">
                      <a:avLst/>
                    </a:prstGeom>
                    <a:noFill/>
                    <a:ln>
                      <a:noFill/>
                    </a:ln>
                  </pic:spPr>
                </pic:pic>
              </a:graphicData>
            </a:graphic>
          </wp:inline>
        </w:drawing>
      </w:r>
    </w:p>
    <w:p>
      <w:pPr>
        <w:widowControl/>
        <w:snapToGrid w:val="0"/>
        <w:spacing w:before="100" w:after="100" w:line="360" w:lineRule="auto"/>
        <w:ind w:firstLine="600" w:firstLineChars="200"/>
        <w:jc w:val="left"/>
        <w:rPr>
          <w:rFonts w:ascii="黑体" w:eastAsia="黑体" w:hAnsi="黑体" w:hint="eastAsia"/>
          <w:sz w:val="30"/>
          <w:szCs w:val="30"/>
        </w:rPr>
      </w:pPr>
      <w:r>
        <w:rPr>
          <w:rFonts w:ascii="黑体" w:eastAsia="黑体" w:hAnsi="黑体" w:hint="eastAsia"/>
          <w:sz w:val="30"/>
          <w:szCs w:val="30"/>
        </w:rPr>
        <w:t>四、一般公共预算财政拨款“三公”经费支出决算情况说明</w:t>
      </w:r>
    </w:p>
    <w:p>
      <w:pPr>
        <w:widowControl/>
        <w:snapToGrid w:val="0"/>
        <w:spacing w:before="100" w:after="100" w:line="360" w:lineRule="auto"/>
        <w:ind w:firstLine="600" w:firstLineChars="200"/>
        <w:jc w:val="left"/>
        <w:rPr>
          <w:rFonts w:ascii="楷体" w:eastAsia="楷体" w:hAnsi="楷体" w:hint="eastAsia"/>
          <w:sz w:val="30"/>
          <w:szCs w:val="30"/>
        </w:rPr>
      </w:pPr>
      <w:r>
        <w:rPr>
          <w:rFonts w:ascii="楷体" w:eastAsia="楷体" w:hAnsi="楷体" w:hint="eastAsia"/>
          <w:sz w:val="30"/>
          <w:szCs w:val="30"/>
        </w:rPr>
        <w:t>(一)</w:t>
      </w:r>
      <w:r>
        <w:rPr>
          <w:rFonts w:ascii="黑体" w:eastAsia="黑体" w:hAnsi="黑体" w:hint="eastAsia"/>
          <w:sz w:val="30"/>
          <w:szCs w:val="30"/>
        </w:rPr>
        <w:t xml:space="preserve"> </w:t>
      </w:r>
      <w:r>
        <w:rPr>
          <w:rFonts w:ascii="楷体" w:eastAsia="楷体" w:hAnsi="楷体" w:hint="eastAsia"/>
          <w:sz w:val="30"/>
          <w:szCs w:val="30"/>
        </w:rPr>
        <w:t>一般公共预算财政拨款“三公”经费支出决算总体情况</w:t>
      </w:r>
    </w:p>
    <w:p>
      <w:pPr>
        <w:widowControl/>
        <w:snapToGrid w:val="0"/>
        <w:spacing w:before="100" w:after="100" w:line="360" w:lineRule="auto"/>
        <w:ind w:firstLine="600" w:firstLineChars="200"/>
        <w:jc w:val="left"/>
        <w:rPr>
          <w:rFonts w:ascii="仿宋_GB2312" w:eastAsia="仿宋_GB2312" w:hint="eastAsia"/>
          <w:sz w:val="30"/>
          <w:szCs w:val="30"/>
          <w:lang w:val="en-US" w:eastAsia="zh-CN"/>
        </w:rPr>
      </w:pPr>
      <w:r>
        <w:rPr>
          <w:rFonts w:ascii="仿宋_GB2312" w:eastAsia="仿宋_GB2312" w:hint="eastAsia"/>
          <w:sz w:val="30"/>
          <w:szCs w:val="30"/>
        </w:rPr>
        <w:t>云南省迪庆州水务局部门2019年度一般公共预算财政拨款“三公”经费支出预算为</w:t>
      </w:r>
      <w:r>
        <w:rPr>
          <w:rFonts w:ascii="仿宋_GB2312" w:eastAsia="仿宋_GB2312" w:hint="eastAsia"/>
          <w:sz w:val="30"/>
          <w:szCs w:val="30"/>
          <w:lang w:val="en-US" w:eastAsia="zh-CN"/>
        </w:rPr>
        <w:t>8.5</w:t>
      </w:r>
      <w:r>
        <w:rPr>
          <w:rFonts w:ascii="仿宋_GB2312" w:eastAsia="仿宋_GB2312" w:hint="eastAsia"/>
          <w:sz w:val="30"/>
          <w:szCs w:val="30"/>
        </w:rPr>
        <w:t>万元，支出决算为10.6万元，完成预算的</w:t>
      </w:r>
      <w:r>
        <w:rPr>
          <w:rFonts w:ascii="仿宋_GB2312" w:eastAsia="仿宋_GB2312" w:hint="eastAsia"/>
          <w:sz w:val="30"/>
          <w:szCs w:val="30"/>
          <w:lang w:val="en-US" w:eastAsia="zh-CN"/>
        </w:rPr>
        <w:t>124.71</w:t>
      </w:r>
      <w:r>
        <w:rPr>
          <w:rFonts w:ascii="仿宋_GB2312" w:eastAsia="仿宋_GB2312" w:hint="eastAsia"/>
          <w:sz w:val="30"/>
          <w:szCs w:val="30"/>
        </w:rPr>
        <w:t>。其中：因公出国（境）费支出决算为0万元，</w:t>
      </w:r>
      <w:r>
        <w:rPr>
          <w:rFonts w:ascii="仿宋_GB2312" w:eastAsia="仿宋_GB2312" w:hint="eastAsia"/>
          <w:sz w:val="30"/>
          <w:szCs w:val="30"/>
          <w:lang w:eastAsia="zh-CN"/>
        </w:rPr>
        <w:t>预算</w:t>
      </w:r>
      <w:r>
        <w:rPr>
          <w:rFonts w:ascii="仿宋_GB2312" w:eastAsia="仿宋_GB2312" w:hint="eastAsia"/>
          <w:sz w:val="30"/>
          <w:szCs w:val="30"/>
          <w:lang w:val="en-US" w:eastAsia="zh-CN"/>
        </w:rPr>
        <w:t>0</w:t>
      </w:r>
      <w:r>
        <w:rPr>
          <w:rFonts w:ascii="仿宋_GB2312" w:eastAsia="仿宋_GB2312" w:hint="eastAsia"/>
          <w:sz w:val="30"/>
          <w:szCs w:val="30"/>
          <w:lang w:eastAsia="zh-CN"/>
        </w:rPr>
        <w:t>万元，</w:t>
      </w:r>
      <w:r>
        <w:rPr>
          <w:rFonts w:ascii="仿宋_GB2312" w:eastAsia="仿宋_GB2312" w:hint="eastAsia"/>
          <w:sz w:val="30"/>
          <w:szCs w:val="30"/>
        </w:rPr>
        <w:t>完成预算的</w:t>
      </w:r>
      <w:r>
        <w:rPr>
          <w:rFonts w:ascii="仿宋_GB2312" w:eastAsia="仿宋_GB2312" w:hint="eastAsia"/>
          <w:sz w:val="30"/>
          <w:szCs w:val="30"/>
          <w:lang w:val="en-US" w:eastAsia="zh-CN"/>
        </w:rPr>
        <w:t>100</w:t>
      </w:r>
      <w:r>
        <w:rPr>
          <w:rFonts w:ascii="仿宋_GB2312" w:eastAsia="仿宋_GB2312" w:hint="eastAsia"/>
          <w:sz w:val="30"/>
          <w:szCs w:val="30"/>
        </w:rPr>
        <w:t>%；公务用车购置及运行费支出决算为4.5万元，</w:t>
      </w:r>
      <w:r>
        <w:rPr>
          <w:rFonts w:ascii="仿宋_GB2312" w:eastAsia="仿宋_GB2312" w:hint="eastAsia"/>
          <w:sz w:val="30"/>
          <w:szCs w:val="30"/>
          <w:lang w:eastAsia="zh-CN"/>
        </w:rPr>
        <w:t>预算</w:t>
      </w:r>
      <w:r>
        <w:rPr>
          <w:rFonts w:ascii="仿宋_GB2312" w:eastAsia="仿宋_GB2312" w:hint="eastAsia"/>
          <w:sz w:val="30"/>
          <w:szCs w:val="30"/>
          <w:lang w:val="en-US" w:eastAsia="zh-CN"/>
        </w:rPr>
        <w:t>4.5万元，</w:t>
      </w:r>
      <w:r>
        <w:rPr>
          <w:rFonts w:ascii="仿宋_GB2312" w:eastAsia="仿宋_GB2312" w:hint="eastAsia"/>
          <w:sz w:val="30"/>
          <w:szCs w:val="30"/>
        </w:rPr>
        <w:t>完成预算的</w:t>
      </w:r>
      <w:r>
        <w:rPr>
          <w:rFonts w:ascii="仿宋_GB2312" w:eastAsia="仿宋_GB2312" w:hint="eastAsia"/>
          <w:sz w:val="30"/>
          <w:szCs w:val="30"/>
          <w:lang w:val="en-US" w:eastAsia="zh-CN"/>
        </w:rPr>
        <w:t>100</w:t>
      </w:r>
      <w:r>
        <w:rPr>
          <w:rFonts w:ascii="仿宋_GB2312" w:eastAsia="仿宋_GB2312" w:hint="eastAsia"/>
          <w:sz w:val="30"/>
          <w:szCs w:val="30"/>
        </w:rPr>
        <w:t>%；公务接待费支出决算为6.1万元，</w:t>
      </w:r>
      <w:r>
        <w:rPr>
          <w:rFonts w:ascii="仿宋_GB2312" w:eastAsia="仿宋_GB2312" w:hint="eastAsia"/>
          <w:sz w:val="30"/>
          <w:szCs w:val="30"/>
          <w:lang w:eastAsia="zh-CN"/>
        </w:rPr>
        <w:t>年初预算</w:t>
      </w:r>
      <w:r>
        <w:rPr>
          <w:rFonts w:ascii="仿宋_GB2312" w:eastAsia="仿宋_GB2312" w:hint="eastAsia"/>
          <w:sz w:val="30"/>
          <w:szCs w:val="30"/>
          <w:lang w:val="en-US" w:eastAsia="zh-CN"/>
        </w:rPr>
        <w:t>4万元，</w:t>
      </w:r>
      <w:r>
        <w:rPr>
          <w:rFonts w:ascii="仿宋_GB2312" w:eastAsia="仿宋_GB2312" w:hint="eastAsia"/>
          <w:sz w:val="30"/>
          <w:szCs w:val="30"/>
        </w:rPr>
        <w:t>完成预算的</w:t>
      </w:r>
      <w:r>
        <w:rPr>
          <w:rFonts w:ascii="仿宋_GB2312" w:eastAsia="仿宋_GB2312" w:hint="eastAsia"/>
          <w:sz w:val="30"/>
          <w:szCs w:val="30"/>
          <w:lang w:val="en-US" w:eastAsia="zh-CN"/>
        </w:rPr>
        <w:t>152.5</w:t>
      </w:r>
      <w:r>
        <w:rPr>
          <w:rFonts w:ascii="仿宋_GB2312" w:eastAsia="仿宋_GB2312" w:hint="eastAsia"/>
          <w:sz w:val="30"/>
          <w:szCs w:val="30"/>
        </w:rPr>
        <w:t>%。2019年度一般公共预算财政拨款“三公”经费支出决算数大于预算数</w:t>
      </w:r>
      <w:r>
        <w:rPr>
          <w:rFonts w:ascii="仿宋_GB2312" w:eastAsia="仿宋_GB2312" w:hint="eastAsia"/>
          <w:sz w:val="30"/>
          <w:szCs w:val="30"/>
          <w:lang w:val="en-US" w:eastAsia="zh-CN"/>
        </w:rPr>
        <w:t>2.1万元，2019年三公经费决算数较年初预算增加37.15%，其中公务用车运行维护费与年初预算数一致，公务接待费较年初预算数增加34.45%，主要是因为2019年度省级检查堰塞湖恢复重建情况，纳帕海水患情况检查，及河长制相关调研较2018年大量增加，导致公务接待费增长较多。</w:t>
      </w:r>
    </w:p>
    <w:p>
      <w:pPr>
        <w:widowControl/>
        <w:snapToGrid w:val="0"/>
        <w:spacing w:before="100" w:after="100" w:line="360" w:lineRule="auto"/>
        <w:ind w:firstLine="600" w:firstLineChars="200"/>
        <w:jc w:val="left"/>
        <w:rPr>
          <w:rFonts w:ascii="仿宋_GB2312" w:eastAsia="仿宋_GB2312" w:hint="eastAsia"/>
          <w:sz w:val="30"/>
          <w:szCs w:val="30"/>
          <w:lang w:val="en-US" w:eastAsia="zh-CN"/>
        </w:rPr>
      </w:pPr>
      <w:r>
        <w:rPr>
          <w:rFonts w:ascii="仿宋_GB2312" w:eastAsia="仿宋_GB2312" w:hint="eastAsia"/>
          <w:sz w:val="30"/>
          <w:szCs w:val="30"/>
          <w:lang w:val="en-US" w:eastAsia="zh-CN"/>
        </w:rPr>
        <w:t>2018年三公经费决算数为7.73万元，其中公务用车运行维护费决算数为4.07万元，公务接待费决算数为3.66万元。2019年三公经费决算数较上年增加37.15%，其中公务用车运行维护费较上年增加10.65%，主要是因为本单位现存车辆车况较差，且下乡较多，每年都较上年产生更多车修费用。公务接待费较上年增加66.58%，主要是因为2019年度省级检查堰塞湖恢复重建情况，纳帕海水患情况检查，及河长制相关调研较2018年大量增加，导致公务接待费增长较多。</w:t>
      </w:r>
    </w:p>
    <w:p>
      <w:pPr>
        <w:widowControl/>
        <w:snapToGrid w:val="0"/>
        <w:spacing w:before="100" w:after="100" w:line="360" w:lineRule="auto"/>
        <w:ind w:firstLine="600" w:firstLineChars="200"/>
        <w:jc w:val="left"/>
        <w:rPr>
          <w:rFonts w:ascii="仿宋_GB2312" w:eastAsia="仿宋_GB2312" w:hint="eastAsia"/>
          <w:sz w:val="30"/>
          <w:szCs w:val="30"/>
          <w:lang w:val="en-US" w:eastAsia="zh-CN"/>
        </w:rPr>
      </w:pPr>
      <w:r>
        <w:rPr>
          <w:rFonts w:ascii="仿宋_GB2312" w:eastAsia="仿宋_GB2312" w:hint="eastAsia"/>
          <w:sz w:val="30"/>
          <w:szCs w:val="30"/>
          <w:lang w:val="en-US" w:eastAsia="zh-CN"/>
        </w:rPr>
        <w:t>2018年会议费支出2.81万元，2019年未进行会议费预算，2019年会议费支出1.5万元，比2018年减少1.31万元，较2018年降低46.73%，主要是因为2019年召开水利会议在本单位会议室，减少了相关开支。</w:t>
      </w:r>
    </w:p>
    <w:p>
      <w:pPr>
        <w:widowControl/>
        <w:snapToGrid w:val="0"/>
        <w:spacing w:before="100" w:after="100" w:line="360" w:lineRule="auto"/>
        <w:ind w:firstLine="600" w:firstLineChars="200"/>
        <w:jc w:val="left"/>
        <w:rPr>
          <w:rFonts w:ascii="仿宋_GB2312" w:eastAsia="仿宋_GB2312" w:hint="eastAsia"/>
          <w:sz w:val="30"/>
          <w:szCs w:val="30"/>
          <w:lang w:val="en-US" w:eastAsia="zh-CN"/>
        </w:rPr>
      </w:pPr>
      <w:r>
        <w:rPr>
          <w:rFonts w:ascii="仿宋_GB2312" w:eastAsia="仿宋_GB2312" w:hint="eastAsia"/>
          <w:sz w:val="30"/>
          <w:szCs w:val="30"/>
          <w:lang w:val="en-US" w:eastAsia="zh-CN"/>
        </w:rPr>
        <w:t>2019及2018年度无培训费支出。</w:t>
      </w:r>
    </w:p>
    <w:p>
      <w:pPr>
        <w:widowControl/>
        <w:snapToGrid w:val="0"/>
        <w:spacing w:before="100" w:after="100" w:line="360" w:lineRule="auto"/>
        <w:ind w:firstLine="600" w:firstLineChars="200"/>
        <w:jc w:val="left"/>
        <w:rPr>
          <w:rFonts w:ascii="楷体" w:eastAsia="楷体" w:hAnsi="楷体" w:hint="eastAsia"/>
          <w:sz w:val="30"/>
          <w:szCs w:val="30"/>
        </w:rPr>
      </w:pPr>
      <w:r>
        <w:rPr>
          <w:rFonts w:ascii="楷体" w:eastAsia="楷体" w:hAnsi="楷体" w:hint="eastAsia"/>
          <w:sz w:val="30"/>
          <w:szCs w:val="30"/>
        </w:rPr>
        <w:t>(二)</w:t>
      </w:r>
      <w:r>
        <w:rPr>
          <w:rFonts w:ascii="仿宋_GB2312" w:eastAsia="仿宋_GB2312" w:hint="eastAsia"/>
          <w:sz w:val="30"/>
          <w:szCs w:val="30"/>
        </w:rPr>
        <w:t xml:space="preserve"> </w:t>
      </w:r>
      <w:r>
        <w:rPr>
          <w:rFonts w:ascii="楷体" w:eastAsia="楷体" w:hAnsi="楷体" w:hint="eastAsia"/>
          <w:sz w:val="30"/>
          <w:szCs w:val="30"/>
        </w:rPr>
        <w:t>一般公共预算财政拨款“三公”经费支出决算具体情况</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sz w:val="30"/>
          <w:szCs w:val="30"/>
        </w:rPr>
        <w:t>2019年度一般公共预算财政拨款“三公”经费支出决算中，因公出国（境）费支出0万元，占0%；公务用车购置及运行维护费支出4.5万元，占42.45%；公务接待费支出6.1万元，占57.55%。具体情况如下：</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1.因公出国（境）费</w:t>
      </w:r>
      <w:r>
        <w:rPr>
          <w:rFonts w:ascii="仿宋_GB2312" w:eastAsia="仿宋_GB2312" w:hint="eastAsia"/>
          <w:sz w:val="30"/>
          <w:szCs w:val="30"/>
        </w:rPr>
        <w:t>支出0万元，共安排因公出国（境）团组0个，累计0人次。</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2. 公务用车购置及运行维护费</w:t>
      </w:r>
      <w:r>
        <w:rPr>
          <w:rFonts w:ascii="仿宋_GB2312" w:eastAsia="仿宋_GB2312" w:hint="eastAsia"/>
          <w:sz w:val="30"/>
          <w:szCs w:val="30"/>
        </w:rPr>
        <w:t>支出4.5万元。其中：</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公务用车购置</w:t>
      </w:r>
      <w:r>
        <w:rPr>
          <w:rFonts w:ascii="仿宋_GB2312" w:eastAsia="仿宋_GB2312" w:hint="eastAsia"/>
          <w:sz w:val="30"/>
          <w:szCs w:val="30"/>
        </w:rPr>
        <w:t>支出0万元，购置车辆0辆。</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公务用车运行维护</w:t>
      </w:r>
      <w:r>
        <w:rPr>
          <w:rFonts w:ascii="仿宋_GB2312" w:eastAsia="仿宋_GB2312" w:hint="eastAsia"/>
          <w:sz w:val="30"/>
          <w:szCs w:val="30"/>
        </w:rPr>
        <w:t>支出4.5万元，开支财政拨款的公务用车保有量为2辆。主要用于</w:t>
      </w:r>
      <w:r>
        <w:rPr>
          <w:rFonts w:ascii="仿宋_GB2312" w:eastAsia="仿宋_GB2312" w:hint="eastAsia"/>
          <w:sz w:val="30"/>
          <w:szCs w:val="30"/>
          <w:lang w:eastAsia="zh-CN"/>
        </w:rPr>
        <w:t>防汛抗旱、水政水资源等工作</w:t>
      </w:r>
      <w:r>
        <w:rPr>
          <w:rFonts w:ascii="仿宋_GB2312" w:eastAsia="仿宋_GB2312" w:hint="eastAsia"/>
          <w:sz w:val="30"/>
          <w:szCs w:val="30"/>
        </w:rPr>
        <w:t>所需车辆燃料费、维修费、过路过桥费、保险费等。</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3.公务接待费</w:t>
      </w:r>
      <w:r>
        <w:rPr>
          <w:rFonts w:ascii="仿宋_GB2312" w:eastAsia="仿宋_GB2312" w:hint="eastAsia"/>
          <w:sz w:val="30"/>
          <w:szCs w:val="30"/>
        </w:rPr>
        <w:t>支出6.1万元。其中：</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国内接待费</w:t>
      </w:r>
      <w:r>
        <w:rPr>
          <w:rFonts w:ascii="仿宋_GB2312" w:eastAsia="仿宋_GB2312" w:hint="eastAsia"/>
          <w:sz w:val="30"/>
          <w:szCs w:val="30"/>
        </w:rPr>
        <w:t>支出6.1万元（其中：外事接待费支出0万元），共安排国内公务接待80批次（其中：外事接待0批次），接待人次640人（其中：外事接待人次0人）。主要用于主要用于</w:t>
      </w:r>
      <w:r>
        <w:rPr>
          <w:rFonts w:ascii="仿宋_GB2312" w:eastAsia="仿宋_GB2312" w:hint="eastAsia"/>
          <w:sz w:val="30"/>
          <w:szCs w:val="30"/>
          <w:lang w:val="en-US" w:eastAsia="zh-CN"/>
        </w:rPr>
        <w:t>查堰塞湖恢复重建情况，纳帕海水患情况检查，及河长制相关调研、水利相关工作考核等</w:t>
      </w:r>
      <w:r>
        <w:rPr>
          <w:rFonts w:ascii="仿宋_GB2312" w:eastAsia="仿宋_GB2312" w:hint="eastAsia"/>
          <w:sz w:val="30"/>
          <w:szCs w:val="30"/>
        </w:rPr>
        <w:t>发生的接待支出。</w:t>
      </w:r>
    </w:p>
    <w:p>
      <w:pPr>
        <w:widowControl/>
        <w:snapToGrid w:val="0"/>
        <w:spacing w:before="100" w:after="100" w:line="360" w:lineRule="auto"/>
        <w:ind w:firstLine="600" w:firstLineChars="200"/>
        <w:jc w:val="left"/>
        <w:rPr>
          <w:rFonts w:ascii="仿宋_GB2312" w:eastAsia="仿宋_GB2312" w:hint="eastAsia"/>
          <w:sz w:val="30"/>
          <w:szCs w:val="30"/>
        </w:rPr>
      </w:pPr>
      <w:r>
        <w:rPr>
          <w:rFonts w:ascii="仿宋_GB2312" w:eastAsia="仿宋_GB2312" w:hint="eastAsia"/>
          <w:b/>
          <w:sz w:val="30"/>
          <w:szCs w:val="30"/>
        </w:rPr>
        <w:t>国（境）外接待费</w:t>
      </w:r>
      <w:r>
        <w:rPr>
          <w:rFonts w:ascii="仿宋_GB2312" w:eastAsia="仿宋_GB2312" w:hint="eastAsia"/>
          <w:sz w:val="30"/>
          <w:szCs w:val="30"/>
        </w:rPr>
        <w:t>支出0万元，共安排国（境）外公务接待0批次，接待人次0人。</w:t>
      </w:r>
    </w:p>
    <w:p>
      <w:pPr>
        <w:widowControl/>
        <w:snapToGrid w:val="0"/>
        <w:spacing w:before="100" w:after="100" w:line="360" w:lineRule="auto"/>
        <w:ind w:firstLine="640" w:firstLineChars="200"/>
        <w:jc w:val="left"/>
        <w:rPr>
          <w:rFonts w:ascii="仿宋_GB2312" w:eastAsia="仿宋_GB2312" w:hint="eastAsia"/>
          <w:sz w:val="32"/>
          <w:szCs w:val="32"/>
        </w:rPr>
      </w:pPr>
      <w:r>
        <w:rPr>
          <w:rFonts w:ascii="黑体" w:eastAsia="黑体" w:hAnsi="黑体" w:cs="方正小标宋简体" w:hint="eastAsia"/>
          <w:sz w:val="32"/>
          <w:szCs w:val="32"/>
        </w:rPr>
        <w:t xml:space="preserve">第四部分  </w:t>
      </w:r>
      <w:r>
        <w:rPr>
          <w:rFonts w:ascii="黑体" w:eastAsia="黑体" w:hAnsi="黑体" w:hint="eastAsia"/>
          <w:sz w:val="32"/>
          <w:szCs w:val="32"/>
        </w:rPr>
        <w:t>其他重要事项及相关口径情况说明</w:t>
      </w:r>
    </w:p>
    <w:p>
      <w:pPr>
        <w:ind w:firstLine="600" w:firstLineChars="200"/>
        <w:jc w:val="left"/>
        <w:rPr>
          <w:rFonts w:ascii="黑体" w:eastAsia="黑体" w:hAnsi="黑体" w:cs="黑体" w:hint="eastAsia"/>
          <w:sz w:val="30"/>
          <w:szCs w:val="30"/>
        </w:rPr>
      </w:pPr>
      <w:r>
        <w:rPr>
          <w:rFonts w:ascii="黑体" w:eastAsia="黑体" w:hAnsi="黑体" w:cs="黑体" w:hint="eastAsia"/>
          <w:sz w:val="30"/>
          <w:szCs w:val="30"/>
        </w:rPr>
        <w:t>一</w:t>
      </w:r>
      <w:r>
        <w:rPr>
          <w:rFonts w:ascii="黑体" w:eastAsia="黑体" w:hAnsi="黑体" w:cs="黑体" w:hint="eastAsia"/>
          <w:sz w:val="30"/>
          <w:szCs w:val="30"/>
          <w:lang w:eastAsia="zh-CN"/>
        </w:rPr>
        <w:t>、</w:t>
      </w:r>
      <w:r>
        <w:rPr>
          <w:rFonts w:ascii="黑体" w:eastAsia="黑体" w:hAnsi="黑体" w:cs="黑体" w:hint="eastAsia"/>
          <w:sz w:val="30"/>
          <w:szCs w:val="30"/>
        </w:rPr>
        <w:t>机关运行经费支出情况</w:t>
      </w:r>
    </w:p>
    <w:p>
      <w:pPr>
        <w:ind w:firstLine="600" w:firstLineChars="200"/>
        <w:jc w:val="left"/>
        <w:rPr>
          <w:rFonts w:ascii="仿宋_GB2312" w:eastAsia="仿宋_GB2312" w:hAnsi="黑体" w:cs="方正小标宋简体" w:hint="eastAsia"/>
          <w:color w:val="000000"/>
          <w:sz w:val="30"/>
          <w:szCs w:val="30"/>
          <w:lang w:val="en-US" w:eastAsia="zh-CN"/>
        </w:rPr>
      </w:pPr>
      <w:r>
        <w:rPr>
          <w:rFonts w:ascii="仿宋_GB2312" w:eastAsia="仿宋_GB2312" w:hAnsi="黑体" w:cs="方正小标宋简体" w:hint="eastAsia"/>
          <w:sz w:val="30"/>
          <w:szCs w:val="30"/>
        </w:rPr>
        <w:t>云南省迪庆州水务局部门2019年机关运行经费支出50.77万元，</w:t>
      </w:r>
      <w:r>
        <w:rPr>
          <w:rFonts w:ascii="仿宋_GB2312" w:eastAsia="仿宋_GB2312" w:hAnsi="黑体" w:cs="方正小标宋简体" w:hint="eastAsia"/>
          <w:color w:val="000000"/>
          <w:sz w:val="30"/>
          <w:szCs w:val="30"/>
        </w:rPr>
        <w:t>与上年对比</w:t>
      </w:r>
      <w:r>
        <w:rPr>
          <w:rFonts w:ascii="仿宋_GB2312" w:eastAsia="仿宋_GB2312" w:hAnsi="黑体" w:cs="方正小标宋简体" w:hint="eastAsia"/>
          <w:color w:val="000000"/>
          <w:sz w:val="30"/>
          <w:szCs w:val="30"/>
          <w:lang w:eastAsia="zh-CN"/>
        </w:rPr>
        <w:t>：2018年机关运行经费支出55.41万元，</w:t>
      </w:r>
      <w:r>
        <w:rPr>
          <w:rFonts w:ascii="仿宋_GB2312" w:eastAsia="仿宋_GB2312" w:hAnsi="黑体" w:cs="方正小标宋简体" w:hint="eastAsia"/>
          <w:color w:val="000000"/>
          <w:sz w:val="30"/>
          <w:szCs w:val="30"/>
          <w:lang w:val="en-US" w:eastAsia="zh-CN"/>
        </w:rPr>
        <w:t>2019年较2018年减少4.64万元，减低8.37%，主要是因为本年度在公用电费、电话费及办公费等节约率开支。</w:t>
      </w:r>
    </w:p>
    <w:p>
      <w:pPr>
        <w:ind w:firstLine="600" w:firstLineChars="200"/>
        <w:jc w:val="left"/>
        <w:rPr>
          <w:rFonts w:ascii="仿宋_GB2312" w:eastAsia="仿宋_GB2312" w:hAnsi="黑体" w:cs="方正小标宋简体" w:hint="eastAsia"/>
          <w:color w:val="000000"/>
          <w:sz w:val="30"/>
          <w:szCs w:val="30"/>
        </w:rPr>
      </w:pPr>
      <w:r>
        <w:rPr>
          <w:rFonts w:ascii="仿宋_GB2312" w:eastAsia="仿宋_GB2312" w:hAnsi="黑体" w:cs="方正小标宋简体" w:hint="eastAsia"/>
          <w:color w:val="000000"/>
          <w:sz w:val="30"/>
          <w:szCs w:val="30"/>
        </w:rPr>
        <w:t>部门机关运行经费主要用于</w:t>
      </w:r>
      <w:r>
        <w:rPr>
          <w:rFonts w:ascii="仿宋_GB2312" w:eastAsia="仿宋_GB2312" w:hAnsi="黑体" w:cs="方正小标宋简体" w:hint="eastAsia"/>
          <w:color w:val="000000"/>
          <w:sz w:val="30"/>
          <w:szCs w:val="30"/>
          <w:lang w:eastAsia="zh-CN"/>
        </w:rPr>
        <w:t>水费</w:t>
      </w:r>
      <w:r>
        <w:rPr>
          <w:rFonts w:ascii="仿宋_GB2312" w:eastAsia="仿宋_GB2312" w:hAnsi="黑体" w:cs="方正小标宋简体" w:hint="eastAsia"/>
          <w:color w:val="000000"/>
          <w:sz w:val="30"/>
          <w:szCs w:val="30"/>
          <w:lang w:val="en-US" w:eastAsia="zh-CN"/>
        </w:rPr>
        <w:t>0.98万元、办公取暖费1.36万元、电话费1.45万元、差旅费9.39万元、接待0.33万元、工会经费1.37万元、福利费0.14万元、公务用车4.5万元、其他交通费用1.52万元、退休人员公用经费2.72万元</w:t>
      </w:r>
      <w:r>
        <w:rPr>
          <w:rFonts w:ascii="仿宋_GB2312" w:eastAsia="仿宋_GB2312" w:hAnsi="黑体" w:cs="方正小标宋简体" w:hint="eastAsia"/>
          <w:color w:val="000000"/>
          <w:sz w:val="30"/>
          <w:szCs w:val="30"/>
        </w:rPr>
        <w:t>。</w:t>
      </w:r>
    </w:p>
    <w:p>
      <w:pPr>
        <w:widowControl/>
        <w:ind w:firstLine="600" w:firstLineChars="200"/>
        <w:rPr>
          <w:rFonts w:ascii="黑体" w:eastAsia="黑体" w:hAnsi="黑体" w:cs="黑体" w:hint="eastAsia"/>
          <w:color w:val="000000"/>
          <w:kern w:val="0"/>
          <w:sz w:val="30"/>
          <w:szCs w:val="30"/>
        </w:rPr>
      </w:pPr>
      <w:r>
        <w:rPr>
          <w:rFonts w:ascii="黑体" w:eastAsia="黑体" w:hAnsi="黑体" w:cs="黑体" w:hint="eastAsia"/>
          <w:color w:val="000000"/>
          <w:kern w:val="0"/>
          <w:sz w:val="30"/>
          <w:szCs w:val="30"/>
          <w:lang w:eastAsia="zh-CN"/>
        </w:rPr>
        <w:t>二、</w:t>
      </w:r>
      <w:r>
        <w:rPr>
          <w:rFonts w:ascii="黑体" w:eastAsia="黑体" w:hAnsi="黑体" w:cs="黑体" w:hint="eastAsia"/>
          <w:color w:val="000000"/>
          <w:kern w:val="0"/>
          <w:sz w:val="30"/>
          <w:szCs w:val="30"/>
        </w:rPr>
        <w:t>国有资产占用情况</w:t>
      </w:r>
    </w:p>
    <w:p>
      <w:pPr>
        <w:widowControl/>
        <w:ind w:firstLine="600" w:firstLineChars="200"/>
        <w:rPr>
          <w:rFonts w:ascii="仿宋_GB2312" w:eastAsia="仿宋_GB2312" w:hAnsi="黑体" w:cs="方正小标宋简体" w:hint="eastAsia"/>
          <w:color w:val="000000"/>
          <w:kern w:val="0"/>
          <w:sz w:val="30"/>
          <w:szCs w:val="30"/>
        </w:rPr>
      </w:pPr>
      <w:r>
        <w:rPr>
          <w:rFonts w:ascii="仿宋_GB2312" w:eastAsia="仿宋_GB2312" w:hAnsi="黑体" w:cs="方正小标宋简体" w:hint="eastAsia"/>
          <w:color w:val="000000"/>
          <w:kern w:val="0"/>
          <w:sz w:val="30"/>
          <w:szCs w:val="30"/>
        </w:rPr>
        <w:t>截至2019年12月31日，云南省迪庆州水务局部门资产总额</w:t>
      </w:r>
      <w:r>
        <w:rPr>
          <w:rFonts w:ascii="仿宋_GB2312" w:eastAsia="仿宋_GB2312" w:hAnsi="黑体" w:cs="方正小标宋简体" w:hint="eastAsia"/>
          <w:color w:val="000000"/>
          <w:kern w:val="0"/>
          <w:sz w:val="30"/>
          <w:szCs w:val="30"/>
          <w:lang w:val="en-US" w:eastAsia="zh-CN"/>
        </w:rPr>
        <w:t>37212.01</w:t>
      </w:r>
      <w:r>
        <w:rPr>
          <w:rFonts w:ascii="仿宋_GB2312" w:eastAsia="仿宋_GB2312" w:hAnsi="黑体" w:cs="方正小标宋简体" w:hint="eastAsia"/>
          <w:color w:val="000000"/>
          <w:kern w:val="0"/>
          <w:sz w:val="30"/>
          <w:szCs w:val="30"/>
        </w:rPr>
        <w:t>万元，其中，流动资产</w:t>
      </w:r>
      <w:r>
        <w:rPr>
          <w:rFonts w:ascii="仿宋_GB2312" w:eastAsia="仿宋_GB2312" w:hAnsi="黑体" w:cs="方正小标宋简体" w:hint="eastAsia"/>
          <w:color w:val="000000"/>
          <w:kern w:val="0"/>
          <w:sz w:val="30"/>
          <w:szCs w:val="30"/>
          <w:lang w:val="en-US" w:eastAsia="zh-CN"/>
        </w:rPr>
        <w:t>32273.68</w:t>
      </w:r>
      <w:r>
        <w:rPr>
          <w:rFonts w:ascii="仿宋_GB2312" w:eastAsia="仿宋_GB2312" w:hAnsi="黑体" w:cs="方正小标宋简体" w:hint="eastAsia"/>
          <w:color w:val="000000"/>
          <w:kern w:val="0"/>
          <w:sz w:val="30"/>
          <w:szCs w:val="30"/>
        </w:rPr>
        <w:t>万元，固定资产</w:t>
      </w:r>
      <w:r>
        <w:rPr>
          <w:rFonts w:ascii="仿宋_GB2312" w:eastAsia="仿宋_GB2312" w:hAnsi="黑体" w:cs="方正小标宋简体" w:hint="eastAsia"/>
          <w:color w:val="000000"/>
          <w:kern w:val="0"/>
          <w:sz w:val="30"/>
          <w:szCs w:val="30"/>
          <w:lang w:val="en-US" w:eastAsia="zh-CN"/>
        </w:rPr>
        <w:t>775.21</w:t>
      </w:r>
      <w:r>
        <w:rPr>
          <w:rFonts w:ascii="仿宋_GB2312" w:eastAsia="仿宋_GB2312" w:hAnsi="黑体" w:cs="方正小标宋简体" w:hint="eastAsia"/>
          <w:color w:val="000000"/>
          <w:kern w:val="0"/>
          <w:sz w:val="30"/>
          <w:szCs w:val="30"/>
        </w:rPr>
        <w:t>万元</w:t>
      </w:r>
      <w:r>
        <w:rPr>
          <w:rFonts w:ascii="仿宋_GB2312" w:eastAsia="仿宋_GB2312" w:hAnsi="黑体" w:cs="方正小标宋简体" w:hint="eastAsia"/>
          <w:color w:val="000000"/>
          <w:kern w:val="0"/>
          <w:sz w:val="30"/>
          <w:szCs w:val="30"/>
          <w:lang w:eastAsia="zh-CN"/>
        </w:rPr>
        <w:t>（含名义价值</w:t>
      </w:r>
      <w:r>
        <w:rPr>
          <w:rFonts w:ascii="仿宋_GB2312" w:eastAsia="仿宋_GB2312" w:hAnsi="黑体" w:cs="方正小标宋简体" w:hint="eastAsia"/>
          <w:color w:val="000000"/>
          <w:kern w:val="0"/>
          <w:sz w:val="30"/>
          <w:szCs w:val="30"/>
          <w:lang w:val="en-US" w:eastAsia="zh-CN"/>
        </w:rPr>
        <w:t>1元入账土地</w:t>
      </w:r>
      <w:r>
        <w:rPr>
          <w:rFonts w:ascii="仿宋_GB2312" w:eastAsia="仿宋_GB2312" w:hAnsi="黑体" w:cs="方正小标宋简体" w:hint="eastAsia"/>
          <w:color w:val="000000"/>
          <w:kern w:val="0"/>
          <w:sz w:val="30"/>
          <w:szCs w:val="30"/>
          <w:lang w:eastAsia="zh-CN"/>
        </w:rPr>
        <w:t>）</w:t>
      </w:r>
      <w:r>
        <w:rPr>
          <w:rFonts w:ascii="仿宋_GB2312" w:eastAsia="仿宋_GB2312" w:hAnsi="黑体" w:cs="方正小标宋简体" w:hint="eastAsia"/>
          <w:color w:val="000000"/>
          <w:kern w:val="0"/>
          <w:sz w:val="30"/>
          <w:szCs w:val="30"/>
        </w:rPr>
        <w:t>，对外投资及有价证券</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万元，在建工程</w:t>
      </w:r>
      <w:r>
        <w:rPr>
          <w:rFonts w:ascii="仿宋_GB2312" w:eastAsia="仿宋_GB2312" w:hAnsi="黑体" w:cs="方正小标宋简体" w:hint="eastAsia"/>
          <w:color w:val="000000"/>
          <w:kern w:val="0"/>
          <w:sz w:val="30"/>
          <w:szCs w:val="30"/>
          <w:lang w:val="en-US" w:eastAsia="zh-CN"/>
        </w:rPr>
        <w:t>4489.57</w:t>
      </w:r>
      <w:r>
        <w:rPr>
          <w:rFonts w:ascii="仿宋_GB2312" w:eastAsia="仿宋_GB2312" w:hAnsi="黑体" w:cs="方正小标宋简体" w:hint="eastAsia"/>
          <w:color w:val="000000"/>
          <w:kern w:val="0"/>
          <w:sz w:val="30"/>
          <w:szCs w:val="30"/>
        </w:rPr>
        <w:t>万元，无形资产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万元，其他资产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万元（具体内容详见附表）。与上年相比，</w:t>
      </w:r>
      <w:r>
        <w:rPr>
          <w:rFonts w:ascii="仿宋_GB2312" w:eastAsia="仿宋_GB2312" w:hAnsi="黑体" w:cs="方正小标宋简体" w:hint="eastAsia"/>
          <w:color w:val="000000"/>
          <w:kern w:val="0"/>
          <w:sz w:val="30"/>
          <w:szCs w:val="30"/>
          <w:lang w:val="en-US" w:eastAsia="zh-CN"/>
        </w:rPr>
        <w:t>2018年年末</w:t>
      </w:r>
      <w:r>
        <w:rPr>
          <w:rFonts w:ascii="仿宋_GB2312" w:eastAsia="仿宋_GB2312" w:hAnsi="黑体" w:cs="方正小标宋简体" w:hint="eastAsia"/>
          <w:color w:val="000000"/>
          <w:kern w:val="0"/>
          <w:sz w:val="30"/>
          <w:szCs w:val="30"/>
        </w:rPr>
        <w:t>资产总额</w:t>
      </w:r>
      <w:r>
        <w:rPr>
          <w:rFonts w:ascii="仿宋_GB2312" w:eastAsia="仿宋_GB2312" w:hAnsi="黑体" w:cs="方正小标宋简体" w:hint="eastAsia"/>
          <w:color w:val="000000"/>
          <w:kern w:val="0"/>
          <w:sz w:val="30"/>
          <w:szCs w:val="30"/>
          <w:lang w:val="en-US" w:eastAsia="zh-CN"/>
        </w:rPr>
        <w:t>1597.58</w:t>
      </w:r>
      <w:r>
        <w:rPr>
          <w:rFonts w:ascii="仿宋_GB2312" w:eastAsia="仿宋_GB2312" w:hAnsi="黑体" w:cs="方正小标宋简体" w:hint="eastAsia"/>
          <w:color w:val="000000"/>
          <w:kern w:val="0"/>
          <w:sz w:val="30"/>
          <w:szCs w:val="30"/>
        </w:rPr>
        <w:t>万元，其中，流动资产</w:t>
      </w:r>
      <w:r>
        <w:rPr>
          <w:rFonts w:ascii="仿宋_GB2312" w:eastAsia="仿宋_GB2312" w:hAnsi="黑体" w:cs="方正小标宋简体" w:hint="eastAsia"/>
          <w:color w:val="000000"/>
          <w:kern w:val="0"/>
          <w:sz w:val="30"/>
          <w:szCs w:val="30"/>
          <w:lang w:val="en-US" w:eastAsia="zh-CN"/>
        </w:rPr>
        <w:t>1141.77</w:t>
      </w:r>
      <w:r>
        <w:rPr>
          <w:rFonts w:ascii="仿宋_GB2312" w:eastAsia="仿宋_GB2312" w:hAnsi="黑体" w:cs="方正小标宋简体" w:hint="eastAsia"/>
          <w:color w:val="000000"/>
          <w:kern w:val="0"/>
          <w:sz w:val="30"/>
          <w:szCs w:val="30"/>
        </w:rPr>
        <w:t>万元，固定资产</w:t>
      </w:r>
      <w:r>
        <w:rPr>
          <w:rFonts w:ascii="仿宋_GB2312" w:eastAsia="仿宋_GB2312" w:hAnsi="黑体" w:cs="方正小标宋简体" w:hint="eastAsia"/>
          <w:color w:val="000000"/>
          <w:kern w:val="0"/>
          <w:sz w:val="30"/>
          <w:szCs w:val="30"/>
          <w:lang w:val="en-US" w:eastAsia="zh-CN"/>
        </w:rPr>
        <w:t>840.89</w:t>
      </w:r>
      <w:r>
        <w:rPr>
          <w:rFonts w:ascii="仿宋_GB2312" w:eastAsia="仿宋_GB2312" w:hAnsi="黑体" w:cs="方正小标宋简体" w:hint="eastAsia"/>
          <w:color w:val="000000"/>
          <w:kern w:val="0"/>
          <w:sz w:val="30"/>
          <w:szCs w:val="30"/>
        </w:rPr>
        <w:t>万元</w:t>
      </w:r>
      <w:r>
        <w:rPr>
          <w:rFonts w:ascii="仿宋_GB2312" w:eastAsia="仿宋_GB2312" w:hAnsi="黑体" w:cs="方正小标宋简体" w:hint="eastAsia"/>
          <w:color w:val="000000"/>
          <w:kern w:val="0"/>
          <w:sz w:val="30"/>
          <w:szCs w:val="30"/>
          <w:lang w:eastAsia="zh-CN"/>
        </w:rPr>
        <w:t>（含名义价值</w:t>
      </w:r>
      <w:r>
        <w:rPr>
          <w:rFonts w:ascii="仿宋_GB2312" w:eastAsia="仿宋_GB2312" w:hAnsi="黑体" w:cs="方正小标宋简体" w:hint="eastAsia"/>
          <w:color w:val="000000"/>
          <w:kern w:val="0"/>
          <w:sz w:val="30"/>
          <w:szCs w:val="30"/>
          <w:lang w:val="en-US" w:eastAsia="zh-CN"/>
        </w:rPr>
        <w:t>1元入账土地</w:t>
      </w:r>
      <w:r>
        <w:rPr>
          <w:rFonts w:ascii="仿宋_GB2312" w:eastAsia="仿宋_GB2312" w:hAnsi="黑体" w:cs="方正小标宋简体" w:hint="eastAsia"/>
          <w:color w:val="000000"/>
          <w:kern w:val="0"/>
          <w:sz w:val="30"/>
          <w:szCs w:val="30"/>
          <w:lang w:eastAsia="zh-CN"/>
        </w:rPr>
        <w:t>）</w:t>
      </w:r>
      <w:r>
        <w:rPr>
          <w:rFonts w:ascii="仿宋_GB2312" w:eastAsia="仿宋_GB2312" w:hAnsi="黑体" w:cs="方正小标宋简体" w:hint="eastAsia"/>
          <w:color w:val="000000"/>
          <w:kern w:val="0"/>
          <w:sz w:val="30"/>
          <w:szCs w:val="30"/>
        </w:rPr>
        <w:t>，对外投资及有价证券</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万元，在建工程</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万元，无形资产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万元，其他资产</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万元。</w:t>
      </w:r>
    </w:p>
    <w:p>
      <w:pPr>
        <w:widowControl/>
        <w:ind w:firstLine="600" w:firstLineChars="200"/>
        <w:rPr>
          <w:rFonts w:ascii="宋体" w:hAnsi="宋体" w:cs="宋体"/>
          <w:color w:val="000000"/>
          <w:kern w:val="0"/>
          <w:sz w:val="30"/>
          <w:szCs w:val="30"/>
        </w:rPr>
      </w:pPr>
      <w:r>
        <w:rPr>
          <w:rFonts w:ascii="仿宋_GB2312" w:eastAsia="仿宋_GB2312" w:hAnsi="黑体" w:cs="方正小标宋简体" w:hint="eastAsia"/>
          <w:color w:val="000000"/>
          <w:kern w:val="0"/>
          <w:sz w:val="30"/>
          <w:szCs w:val="30"/>
          <w:lang w:val="en-US" w:eastAsia="zh-CN"/>
        </w:rPr>
        <w:t>2019</w:t>
      </w:r>
      <w:r>
        <w:rPr>
          <w:rFonts w:ascii="仿宋_GB2312" w:eastAsia="仿宋_GB2312" w:hAnsi="黑体" w:cs="方正小标宋简体" w:hint="eastAsia"/>
          <w:color w:val="000000"/>
          <w:kern w:val="0"/>
          <w:sz w:val="30"/>
          <w:szCs w:val="30"/>
        </w:rPr>
        <w:t>年资产总额增加</w:t>
      </w:r>
      <w:r>
        <w:rPr>
          <w:rFonts w:ascii="仿宋_GB2312" w:eastAsia="仿宋_GB2312" w:hAnsi="黑体" w:cs="方正小标宋简体" w:hint="eastAsia"/>
          <w:color w:val="000000"/>
          <w:kern w:val="0"/>
          <w:sz w:val="30"/>
          <w:szCs w:val="30"/>
          <w:lang w:val="en-US" w:eastAsia="zh-CN"/>
        </w:rPr>
        <w:t>35614.52</w:t>
      </w:r>
      <w:r>
        <w:rPr>
          <w:rFonts w:ascii="仿宋_GB2312" w:eastAsia="仿宋_GB2312" w:hAnsi="黑体" w:cs="方正小标宋简体" w:hint="eastAsia"/>
          <w:color w:val="000000"/>
          <w:kern w:val="0"/>
          <w:sz w:val="30"/>
          <w:szCs w:val="30"/>
        </w:rPr>
        <w:t>万元，其中</w:t>
      </w:r>
      <w:r>
        <w:rPr>
          <w:rFonts w:ascii="仿宋_GB2312" w:eastAsia="仿宋_GB2312" w:hAnsi="黑体" w:cs="方正小标宋简体" w:hint="eastAsia"/>
          <w:color w:val="000000"/>
          <w:kern w:val="0"/>
          <w:sz w:val="30"/>
          <w:szCs w:val="30"/>
          <w:lang w:eastAsia="zh-CN"/>
        </w:rPr>
        <w:t>，</w:t>
      </w:r>
      <w:r>
        <w:rPr>
          <w:rFonts w:ascii="仿宋_GB2312" w:eastAsia="仿宋_GB2312" w:hAnsi="黑体" w:cs="方正小标宋简体" w:hint="eastAsia"/>
          <w:color w:val="000000"/>
          <w:kern w:val="0"/>
          <w:sz w:val="30"/>
          <w:szCs w:val="30"/>
        </w:rPr>
        <w:t>流动资产增加</w:t>
      </w:r>
      <w:r>
        <w:rPr>
          <w:rFonts w:ascii="仿宋_GB2312" w:eastAsia="仿宋_GB2312" w:hAnsi="黑体" w:cs="方正小标宋简体" w:hint="eastAsia"/>
          <w:color w:val="000000"/>
          <w:kern w:val="0"/>
          <w:sz w:val="30"/>
          <w:szCs w:val="30"/>
          <w:lang w:val="en-US" w:eastAsia="zh-CN"/>
        </w:rPr>
        <w:t>31131.91</w:t>
      </w:r>
      <w:r>
        <w:rPr>
          <w:rFonts w:ascii="仿宋_GB2312" w:eastAsia="仿宋_GB2312" w:hAnsi="黑体" w:cs="方正小标宋简体" w:hint="eastAsia"/>
          <w:color w:val="000000"/>
          <w:kern w:val="0"/>
          <w:sz w:val="30"/>
          <w:szCs w:val="30"/>
        </w:rPr>
        <w:t>万元，固定资产减少</w:t>
      </w:r>
      <w:r>
        <w:rPr>
          <w:rFonts w:ascii="仿宋_GB2312" w:eastAsia="仿宋_GB2312" w:hAnsi="黑体" w:cs="方正小标宋简体" w:hint="eastAsia"/>
          <w:color w:val="000000"/>
          <w:kern w:val="0"/>
          <w:sz w:val="30"/>
          <w:szCs w:val="30"/>
          <w:lang w:val="en-US" w:eastAsia="zh-CN"/>
        </w:rPr>
        <w:t>65.68</w:t>
      </w:r>
      <w:r>
        <w:rPr>
          <w:rFonts w:ascii="仿宋_GB2312" w:eastAsia="仿宋_GB2312" w:hAnsi="黑体" w:cs="方正小标宋简体" w:hint="eastAsia"/>
          <w:color w:val="000000"/>
          <w:kern w:val="0"/>
          <w:sz w:val="30"/>
          <w:szCs w:val="30"/>
        </w:rPr>
        <w:t>万元,对外投资及有价证券</w:t>
      </w:r>
      <w:r>
        <w:rPr>
          <w:rFonts w:ascii="仿宋_GB2312" w:eastAsia="仿宋_GB2312" w:hAnsi="黑体" w:cs="方正小标宋简体" w:hint="eastAsia"/>
          <w:color w:val="000000"/>
          <w:kern w:val="0"/>
          <w:sz w:val="30"/>
          <w:szCs w:val="30"/>
          <w:lang w:eastAsia="zh-CN"/>
        </w:rPr>
        <w:t>无增减变化</w:t>
      </w:r>
      <w:r>
        <w:rPr>
          <w:rFonts w:ascii="仿宋_GB2312" w:eastAsia="仿宋_GB2312" w:hAnsi="黑体" w:cs="方正小标宋简体" w:hint="eastAsia"/>
          <w:color w:val="000000"/>
          <w:kern w:val="0"/>
          <w:sz w:val="30"/>
          <w:szCs w:val="30"/>
        </w:rPr>
        <w:t>，在建工程增加</w:t>
      </w:r>
      <w:r>
        <w:rPr>
          <w:rFonts w:ascii="仿宋_GB2312" w:eastAsia="仿宋_GB2312" w:hAnsi="黑体" w:cs="方正小标宋简体" w:hint="eastAsia"/>
          <w:color w:val="000000"/>
          <w:kern w:val="0"/>
          <w:sz w:val="30"/>
          <w:szCs w:val="30"/>
          <w:lang w:val="en-US" w:eastAsia="zh-CN"/>
        </w:rPr>
        <w:t>4489.57</w:t>
      </w:r>
      <w:r>
        <w:rPr>
          <w:rFonts w:ascii="仿宋_GB2312" w:eastAsia="仿宋_GB2312" w:hAnsi="黑体" w:cs="方正小标宋简体" w:hint="eastAsia"/>
          <w:color w:val="000000"/>
          <w:kern w:val="0"/>
          <w:sz w:val="30"/>
          <w:szCs w:val="30"/>
        </w:rPr>
        <w:t>万元，无形资产</w:t>
      </w:r>
      <w:r>
        <w:rPr>
          <w:rFonts w:ascii="仿宋_GB2312" w:eastAsia="仿宋_GB2312" w:hAnsi="黑体" w:cs="方正小标宋简体" w:hint="eastAsia"/>
          <w:color w:val="000000"/>
          <w:kern w:val="0"/>
          <w:sz w:val="30"/>
          <w:szCs w:val="30"/>
          <w:lang w:eastAsia="zh-CN"/>
        </w:rPr>
        <w:t>无增减变化</w:t>
      </w:r>
      <w:r>
        <w:rPr>
          <w:rFonts w:ascii="仿宋_GB2312" w:eastAsia="仿宋_GB2312" w:hAnsi="黑体" w:cs="方正小标宋简体" w:hint="eastAsia"/>
          <w:color w:val="000000"/>
          <w:kern w:val="0"/>
          <w:sz w:val="30"/>
          <w:szCs w:val="30"/>
        </w:rPr>
        <w:t>，其他资产</w:t>
      </w:r>
      <w:r>
        <w:rPr>
          <w:rFonts w:ascii="仿宋_GB2312" w:eastAsia="仿宋_GB2312" w:hAnsi="黑体" w:cs="方正小标宋简体" w:hint="eastAsia"/>
          <w:color w:val="000000"/>
          <w:kern w:val="0"/>
          <w:sz w:val="30"/>
          <w:szCs w:val="30"/>
          <w:lang w:eastAsia="zh-CN"/>
        </w:rPr>
        <w:t>无增减变化</w:t>
      </w:r>
      <w:r>
        <w:rPr>
          <w:rFonts w:ascii="仿宋_GB2312" w:eastAsia="仿宋_GB2312" w:hAnsi="黑体" w:cs="方正小标宋简体" w:hint="eastAsia"/>
          <w:color w:val="000000"/>
          <w:kern w:val="0"/>
          <w:sz w:val="30"/>
          <w:szCs w:val="30"/>
        </w:rPr>
        <w:t>万元。处置房屋建筑物</w:t>
      </w:r>
      <w:r>
        <w:rPr>
          <w:rFonts w:ascii="仿宋_GB2312" w:eastAsia="仿宋_GB2312" w:hAnsi="黑体" w:cs="方正小标宋简体" w:hint="eastAsia"/>
          <w:color w:val="000000"/>
          <w:kern w:val="0"/>
          <w:sz w:val="30"/>
          <w:szCs w:val="30"/>
          <w:lang w:val="en-US" w:eastAsia="zh-CN"/>
        </w:rPr>
        <w:t>0</w:t>
      </w:r>
      <w:r>
        <w:rPr>
          <w:rFonts w:ascii="仿宋_GB2312" w:eastAsia="仿宋_GB2312" w:hAnsi="黑体" w:cs="方正小标宋简体" w:hint="eastAsia"/>
          <w:color w:val="000000"/>
          <w:kern w:val="0"/>
          <w:sz w:val="30"/>
          <w:szCs w:val="30"/>
        </w:rPr>
        <w:t>平方米；报废报损资产</w:t>
      </w:r>
      <w:r>
        <w:rPr>
          <w:rFonts w:ascii="仿宋_GB2312" w:eastAsia="仿宋_GB2312" w:hAnsi="黑体" w:cs="方正小标宋简体" w:hint="eastAsia"/>
          <w:color w:val="000000"/>
          <w:kern w:val="0"/>
          <w:sz w:val="30"/>
          <w:szCs w:val="30"/>
          <w:lang w:val="en-US" w:eastAsia="zh-CN"/>
        </w:rPr>
        <w:t>2</w:t>
      </w:r>
      <w:r>
        <w:rPr>
          <w:rFonts w:ascii="仿宋_GB2312" w:eastAsia="仿宋_GB2312" w:hAnsi="黑体" w:cs="方正小标宋简体" w:hint="eastAsia"/>
          <w:color w:val="000000"/>
          <w:kern w:val="0"/>
          <w:sz w:val="30"/>
          <w:szCs w:val="30"/>
        </w:rPr>
        <w:t>项，</w:t>
      </w:r>
      <w:r>
        <w:rPr>
          <w:rFonts w:ascii="仿宋_GB2312" w:eastAsia="仿宋_GB2312" w:hAnsi="黑体" w:cs="方正小标宋简体" w:hint="eastAsia"/>
          <w:color w:val="000000"/>
          <w:kern w:val="0"/>
          <w:sz w:val="30"/>
          <w:szCs w:val="30"/>
          <w:lang w:eastAsia="zh-CN"/>
        </w:rPr>
        <w:t>为公车改革下账的两张车，</w:t>
      </w:r>
      <w:r>
        <w:rPr>
          <w:rFonts w:ascii="仿宋_GB2312" w:eastAsia="仿宋_GB2312" w:hAnsi="黑体" w:cs="方正小标宋简体" w:hint="eastAsia"/>
          <w:color w:val="000000"/>
          <w:kern w:val="0"/>
          <w:sz w:val="30"/>
          <w:szCs w:val="30"/>
        </w:rPr>
        <w:t>账面原值</w:t>
      </w:r>
      <w:r>
        <w:rPr>
          <w:rFonts w:ascii="仿宋_GB2312" w:eastAsia="仿宋_GB2312" w:hAnsi="黑体" w:cs="方正小标宋简体" w:hint="eastAsia"/>
          <w:color w:val="000000"/>
          <w:kern w:val="0"/>
          <w:sz w:val="30"/>
          <w:szCs w:val="30"/>
          <w:lang w:val="en-US" w:eastAsia="zh-CN"/>
        </w:rPr>
        <w:t>85.5</w:t>
      </w:r>
      <w:r>
        <w:rPr>
          <w:rFonts w:ascii="仿宋_GB2312" w:eastAsia="仿宋_GB2312" w:hAnsi="黑体" w:cs="方正小标宋简体" w:hint="eastAsia"/>
          <w:color w:val="000000"/>
          <w:kern w:val="0"/>
          <w:sz w:val="30"/>
          <w:szCs w:val="30"/>
        </w:rPr>
        <w:t>万元，实现资产处置收入</w:t>
      </w:r>
      <w:r>
        <w:rPr>
          <w:rFonts w:ascii="仿宋_GB2312" w:eastAsia="仿宋_GB2312" w:hAnsi="黑体" w:cs="方正小标宋简体" w:hint="eastAsia"/>
          <w:color w:val="000000"/>
          <w:kern w:val="0"/>
          <w:sz w:val="30"/>
          <w:szCs w:val="30"/>
          <w:lang w:val="en-US" w:eastAsia="zh-CN"/>
        </w:rPr>
        <w:t>3.26</w:t>
      </w:r>
      <w:r>
        <w:rPr>
          <w:rFonts w:ascii="仿宋_GB2312" w:eastAsia="仿宋_GB2312" w:hAnsi="黑体" w:cs="方正小标宋简体" w:hint="eastAsia"/>
          <w:color w:val="000000"/>
          <w:kern w:val="0"/>
          <w:sz w:val="30"/>
          <w:szCs w:val="30"/>
        </w:rPr>
        <w:t>万元</w:t>
      </w:r>
      <w:r>
        <w:rPr>
          <w:rFonts w:ascii="仿宋_GB2312" w:eastAsia="仿宋_GB2312" w:hAnsi="黑体" w:cs="方正小标宋简体" w:hint="eastAsia"/>
          <w:color w:val="000000"/>
          <w:kern w:val="0"/>
          <w:sz w:val="30"/>
          <w:szCs w:val="30"/>
          <w:lang w:eastAsia="zh-CN"/>
        </w:rPr>
        <w:t>，已全部上交国库</w:t>
      </w:r>
      <w:r>
        <w:rPr>
          <w:rFonts w:ascii="仿宋_GB2312" w:eastAsia="仿宋_GB2312" w:hAnsi="黑体" w:cs="方正小标宋简体" w:hint="eastAsia"/>
          <w:color w:val="000000"/>
          <w:kern w:val="0"/>
          <w:sz w:val="30"/>
          <w:szCs w:val="30"/>
        </w:rPr>
        <w:t>；出租房屋</w:t>
      </w:r>
      <w:r>
        <w:rPr>
          <w:rFonts w:ascii="仿宋_GB2312" w:eastAsia="仿宋_GB2312" w:hAnsi="黑体" w:cs="方正小标宋简体" w:hint="eastAsia"/>
          <w:color w:val="000000"/>
          <w:kern w:val="0"/>
          <w:sz w:val="30"/>
          <w:szCs w:val="30"/>
          <w:lang w:val="en-US" w:eastAsia="zh-CN"/>
        </w:rPr>
        <w:t>20</w:t>
      </w:r>
      <w:r>
        <w:rPr>
          <w:rFonts w:ascii="仿宋_GB2312" w:eastAsia="仿宋_GB2312" w:hAnsi="黑体" w:cs="方正小标宋简体" w:hint="eastAsia"/>
          <w:color w:val="000000"/>
          <w:kern w:val="0"/>
          <w:sz w:val="30"/>
          <w:szCs w:val="30"/>
        </w:rPr>
        <w:t>平方米，账面原值</w:t>
      </w:r>
      <w:r>
        <w:rPr>
          <w:rFonts w:ascii="仿宋_GB2312" w:eastAsia="仿宋_GB2312" w:hAnsi="黑体" w:cs="方正小标宋简体" w:hint="eastAsia"/>
          <w:color w:val="000000"/>
          <w:kern w:val="0"/>
          <w:sz w:val="30"/>
          <w:szCs w:val="30"/>
          <w:lang w:val="en-US" w:eastAsia="zh-CN"/>
        </w:rPr>
        <w:t>5.21</w:t>
      </w:r>
      <w:r>
        <w:rPr>
          <w:rFonts w:ascii="仿宋_GB2312" w:eastAsia="仿宋_GB2312" w:hAnsi="黑体" w:cs="方正小标宋简体" w:hint="eastAsia"/>
          <w:color w:val="000000"/>
          <w:kern w:val="0"/>
          <w:sz w:val="30"/>
          <w:szCs w:val="30"/>
        </w:rPr>
        <w:t>万元，实现资产使用收入</w:t>
      </w:r>
      <w:r>
        <w:rPr>
          <w:rFonts w:ascii="仿宋_GB2312" w:eastAsia="仿宋_GB2312" w:hAnsi="黑体" w:cs="方正小标宋简体" w:hint="eastAsia"/>
          <w:color w:val="000000"/>
          <w:kern w:val="0"/>
          <w:sz w:val="30"/>
          <w:szCs w:val="30"/>
          <w:lang w:eastAsia="zh-CN"/>
        </w:rPr>
        <w:t>（税后）</w:t>
      </w:r>
      <w:r>
        <w:rPr>
          <w:rFonts w:ascii="仿宋_GB2312" w:eastAsia="仿宋_GB2312" w:hAnsi="黑体" w:cs="方正小标宋简体" w:hint="eastAsia"/>
          <w:color w:val="000000"/>
          <w:kern w:val="0"/>
          <w:sz w:val="30"/>
          <w:szCs w:val="30"/>
          <w:lang w:val="en-US" w:eastAsia="zh-CN"/>
        </w:rPr>
        <w:t>1.73</w:t>
      </w:r>
      <w:r>
        <w:rPr>
          <w:rFonts w:ascii="仿宋_GB2312" w:eastAsia="仿宋_GB2312" w:hAnsi="黑体" w:cs="方正小标宋简体" w:hint="eastAsia"/>
          <w:color w:val="000000"/>
          <w:kern w:val="0"/>
          <w:sz w:val="30"/>
          <w:szCs w:val="30"/>
        </w:rPr>
        <w:t>万元</w:t>
      </w:r>
      <w:r>
        <w:rPr>
          <w:rFonts w:ascii="仿宋_GB2312" w:eastAsia="仿宋_GB2312" w:hAnsi="黑体" w:cs="方正小标宋简体" w:hint="eastAsia"/>
          <w:color w:val="000000"/>
          <w:kern w:val="0"/>
          <w:sz w:val="30"/>
          <w:szCs w:val="30"/>
          <w:lang w:eastAsia="zh-CN"/>
        </w:rPr>
        <w:t>，已全部上交财政</w:t>
      </w:r>
      <w:r>
        <w:rPr>
          <w:rFonts w:ascii="仿宋_GB2312" w:eastAsia="仿宋_GB2312" w:hAnsi="黑体" w:cs="方正小标宋简体" w:hint="eastAsia"/>
          <w:color w:val="000000"/>
          <w:kern w:val="0"/>
          <w:sz w:val="30"/>
          <w:szCs w:val="30"/>
        </w:rPr>
        <w:t>。</w:t>
      </w:r>
    </w:p>
    <w:tbl>
      <w:tblPr>
        <w:tblStyle w:val="TableNormal"/>
        <w:tblpPr w:leftFromText="180" w:rightFromText="180" w:topFromText="100" w:bottomFromText="100" w:vertAnchor="text" w:horzAnchor="page" w:tblpX="534" w:tblpY="490"/>
        <w:tblOverlap w:val="never"/>
        <w:tblW w:w="10770" w:type="dxa"/>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W w:w="10770" w:type="dxa"/>
          <w:tblInd w:w="0" w:type="dxa"/>
          <w:tblLayout w:type="fixed"/>
          <w:tblCellMar>
            <w:top w:w="0" w:type="dxa"/>
            <w:left w:w="0" w:type="dxa"/>
            <w:bottom w:w="0" w:type="dxa"/>
            <w:right w:w="0" w:type="dxa"/>
          </w:tblCellMar>
        </w:tblPrEx>
        <w:trPr>
          <w:trHeight w:val="495"/>
        </w:trPr>
        <w:tc>
          <w:tcPr>
            <w:tcW w:w="10628" w:type="dxa"/>
            <w:gridSpan w:val="19"/>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仿宋_GB2312" w:eastAsia="仿宋_GB2312" w:hAnsi="方正小标宋_GBK" w:cs="方正小标宋_GBK" w:hint="eastAsia"/>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47"/>
        </w:trPr>
        <w:tc>
          <w:tcPr>
            <w:tcW w:w="4680" w:type="dxa"/>
            <w:gridSpan w:val="8"/>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ascii="宋体" w:hAnsi="宋体" w:cs="宋体" w:hint="eastAsia"/>
                <w:color w:val="000000"/>
                <w:kern w:val="0"/>
                <w:sz w:val="20"/>
                <w:szCs w:val="20"/>
              </w:rPr>
              <w:t> </w:t>
            </w:r>
          </w:p>
        </w:tc>
        <w:tc>
          <w:tcPr>
            <w:tcW w:w="865" w:type="dxa"/>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974" w:type="dxa"/>
            <w:gridSpan w:val="2"/>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196" w:type="dxa"/>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978" w:type="dxa"/>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979" w:type="dxa"/>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1956" w:type="dxa"/>
            <w:gridSpan w:val="5"/>
            <w:tcBorders>
              <w:top w:val="nil"/>
              <w:left w:val="nil"/>
              <w:bottom w:val="single" w:sz="4" w:space="0" w:color="80808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415"/>
        </w:trPr>
        <w:tc>
          <w:tcPr>
            <w:tcW w:w="715"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项目</w:t>
            </w:r>
          </w:p>
        </w:tc>
        <w:tc>
          <w:tcPr>
            <w:tcW w:w="546"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行次</w:t>
            </w:r>
          </w:p>
        </w:tc>
        <w:tc>
          <w:tcPr>
            <w:tcW w:w="700"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资产总额</w:t>
            </w:r>
          </w:p>
        </w:tc>
        <w:tc>
          <w:tcPr>
            <w:tcW w:w="684"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流动资产</w:t>
            </w:r>
          </w:p>
        </w:tc>
        <w:tc>
          <w:tcPr>
            <w:tcW w:w="4070" w:type="dxa"/>
            <w:gridSpan w:val="8"/>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固定资产</w:t>
            </w:r>
          </w:p>
        </w:tc>
        <w:tc>
          <w:tcPr>
            <w:tcW w:w="978"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对外投资/有价证券</w:t>
            </w:r>
          </w:p>
        </w:tc>
        <w:tc>
          <w:tcPr>
            <w:tcW w:w="979"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在建工程</w:t>
            </w:r>
          </w:p>
        </w:tc>
        <w:tc>
          <w:tcPr>
            <w:tcW w:w="978" w:type="dxa"/>
            <w:gridSpan w:val="2"/>
            <w:vMerge w:val="restart"/>
            <w:tcBorders>
              <w:top w:val="nil"/>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无形资产</w:t>
            </w:r>
          </w:p>
        </w:tc>
        <w:tc>
          <w:tcPr>
            <w:tcW w:w="978" w:type="dxa"/>
            <w:gridSpan w:val="3"/>
            <w:vMerge w:val="restart"/>
            <w:tcBorders>
              <w:top w:val="nil"/>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45"/>
        </w:trPr>
        <w:tc>
          <w:tcPr>
            <w:tcW w:w="715"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546"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700"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684"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474"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小计</w:t>
            </w:r>
          </w:p>
        </w:tc>
        <w:tc>
          <w:tcPr>
            <w:tcW w:w="725"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房屋构筑物</w:t>
            </w:r>
          </w:p>
        </w:tc>
        <w:tc>
          <w:tcPr>
            <w:tcW w:w="769" w:type="dxa"/>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车辆</w:t>
            </w:r>
          </w:p>
        </w:tc>
        <w:tc>
          <w:tcPr>
            <w:tcW w:w="1263" w:type="dxa"/>
            <w:gridSpan w:val="3"/>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单价200万以上大型设备</w:t>
            </w:r>
          </w:p>
        </w:tc>
        <w:tc>
          <w:tcPr>
            <w:tcW w:w="839" w:type="dxa"/>
            <w:gridSpan w:val="2"/>
            <w:vMerge w:val="restart"/>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其他固定资产</w:t>
            </w:r>
          </w:p>
        </w:tc>
        <w:tc>
          <w:tcPr>
            <w:tcW w:w="978"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9"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8" w:type="dxa"/>
            <w:gridSpan w:val="2"/>
            <w:vMerge/>
            <w:tcBorders>
              <w:top w:val="nil"/>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8" w:type="dxa"/>
            <w:gridSpan w:val="3"/>
            <w:vMerge/>
            <w:tcBorders>
              <w:top w:val="nil"/>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95"/>
        </w:trPr>
        <w:tc>
          <w:tcPr>
            <w:tcW w:w="715"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546"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700"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684"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474"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725"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769"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1263" w:type="dxa"/>
            <w:gridSpan w:val="3"/>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839" w:type="dxa"/>
            <w:gridSpan w:val="2"/>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8"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9" w:type="dxa"/>
            <w:vMerge/>
            <w:tcBorders>
              <w:top w:val="single" w:sz="4" w:space="0" w:color="000000"/>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8" w:type="dxa"/>
            <w:gridSpan w:val="2"/>
            <w:vMerge/>
            <w:tcBorders>
              <w:top w:val="nil"/>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978" w:type="dxa"/>
            <w:gridSpan w:val="3"/>
            <w:vMerge/>
            <w:tcBorders>
              <w:top w:val="nil"/>
              <w:left w:val="single" w:sz="4" w:space="0" w:color="000000"/>
              <w:bottom w:val="single" w:sz="4" w:space="0" w:color="000000"/>
              <w:right w:val="single" w:sz="4" w:space="0" w:color="00000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358"/>
        </w:trPr>
        <w:tc>
          <w:tcPr>
            <w:tcW w:w="715"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栏次</w:t>
            </w:r>
          </w:p>
        </w:tc>
        <w:tc>
          <w:tcPr>
            <w:tcW w:w="546"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ascii="宋体" w:hAnsi="宋体" w:cs="宋体" w:hint="eastAsia"/>
                <w:color w:val="000000"/>
                <w:kern w:val="0"/>
                <w:sz w:val="20"/>
                <w:szCs w:val="20"/>
              </w:rPr>
              <w:t> </w:t>
            </w:r>
          </w:p>
        </w:tc>
        <w:tc>
          <w:tcPr>
            <w:tcW w:w="700"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w:t>
            </w:r>
          </w:p>
        </w:tc>
        <w:tc>
          <w:tcPr>
            <w:tcW w:w="684"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2</w:t>
            </w:r>
          </w:p>
        </w:tc>
        <w:tc>
          <w:tcPr>
            <w:tcW w:w="474"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3</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4</w:t>
            </w:r>
          </w:p>
        </w:tc>
        <w:tc>
          <w:tcPr>
            <w:tcW w:w="769"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5</w:t>
            </w:r>
          </w:p>
        </w:tc>
        <w:tc>
          <w:tcPr>
            <w:tcW w:w="1263" w:type="dxa"/>
            <w:gridSpan w:val="3"/>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6</w:t>
            </w:r>
          </w:p>
        </w:tc>
        <w:tc>
          <w:tcPr>
            <w:tcW w:w="839" w:type="dxa"/>
            <w:gridSpan w:val="2"/>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7</w:t>
            </w:r>
          </w:p>
        </w:tc>
        <w:tc>
          <w:tcPr>
            <w:tcW w:w="978"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8</w:t>
            </w:r>
          </w:p>
        </w:tc>
        <w:tc>
          <w:tcPr>
            <w:tcW w:w="979"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9</w:t>
            </w:r>
          </w:p>
        </w:tc>
        <w:tc>
          <w:tcPr>
            <w:tcW w:w="978" w:type="dxa"/>
            <w:gridSpan w:val="2"/>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10</w:t>
            </w:r>
          </w:p>
        </w:tc>
        <w:tc>
          <w:tcPr>
            <w:tcW w:w="978" w:type="dxa"/>
            <w:gridSpan w:val="3"/>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563"/>
        </w:trPr>
        <w:tc>
          <w:tcPr>
            <w:tcW w:w="715"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合计</w:t>
            </w:r>
          </w:p>
        </w:tc>
        <w:tc>
          <w:tcPr>
            <w:tcW w:w="546"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ascii="宋体" w:hAnsi="宋体" w:cs="宋体" w:hint="eastAsia"/>
                <w:color w:val="000000"/>
                <w:kern w:val="0"/>
                <w:sz w:val="20"/>
                <w:szCs w:val="20"/>
                <w:lang w:bidi="ar"/>
              </w:rPr>
              <w:t>1</w:t>
            </w:r>
          </w:p>
        </w:tc>
        <w:tc>
          <w:tcPr>
            <w:tcW w:w="700"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rPr>
              <w:t>37212.01 </w:t>
            </w:r>
          </w:p>
        </w:tc>
        <w:tc>
          <w:tcPr>
            <w:tcW w:w="684"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rPr>
              <w:t>32273.68 </w:t>
            </w:r>
          </w:p>
        </w:tc>
        <w:tc>
          <w:tcPr>
            <w:tcW w:w="474"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lang w:val="en-US" w:eastAsia="zh-CN"/>
              </w:rPr>
              <w:t>775.21</w:t>
            </w:r>
            <w:r>
              <w:rPr>
                <w:rFonts w:ascii="宋体" w:hAnsi="宋体" w:cs="宋体" w:hint="eastAsia"/>
                <w:color w:val="000000"/>
                <w:kern w:val="0"/>
                <w:sz w:val="20"/>
                <w:szCs w:val="20"/>
              </w:rPr>
              <w:t> </w:t>
            </w:r>
          </w:p>
        </w:tc>
        <w:tc>
          <w:tcPr>
            <w:tcW w:w="725"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eastAsia="宋体" w:hAnsi="宋体" w:cs="宋体" w:hint="default"/>
                <w:color w:val="000000"/>
                <w:kern w:val="0"/>
                <w:sz w:val="24"/>
                <w:szCs w:val="24"/>
                <w:lang w:val="en-US" w:eastAsia="zh-CN"/>
              </w:rPr>
            </w:pPr>
            <w:r>
              <w:rPr>
                <w:rFonts w:ascii="宋体" w:hAnsi="宋体" w:cs="宋体" w:hint="eastAsia"/>
                <w:color w:val="000000"/>
                <w:kern w:val="0"/>
                <w:sz w:val="20"/>
                <w:szCs w:val="20"/>
                <w:lang w:val="en-US" w:eastAsia="zh-CN"/>
              </w:rPr>
              <w:t>414.31</w:t>
            </w:r>
            <w:r>
              <w:rPr>
                <w:rFonts w:ascii="宋体" w:hAnsi="宋体" w:cs="宋体" w:hint="eastAsia"/>
                <w:color w:val="000000"/>
                <w:kern w:val="0"/>
                <w:sz w:val="20"/>
                <w:szCs w:val="20"/>
              </w:rPr>
              <w:t> </w:t>
            </w:r>
          </w:p>
        </w:tc>
        <w:tc>
          <w:tcPr>
            <w:tcW w:w="769"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hint="default"/>
                <w:color w:val="000000"/>
                <w:kern w:val="0"/>
                <w:sz w:val="24"/>
                <w:szCs w:val="24"/>
                <w:lang w:val="en-US"/>
              </w:rPr>
            </w:pPr>
            <w:r>
              <w:rPr>
                <w:rFonts w:ascii="宋体" w:hAnsi="宋体" w:cs="宋体" w:hint="eastAsia"/>
                <w:color w:val="000000"/>
                <w:kern w:val="0"/>
                <w:sz w:val="20"/>
                <w:szCs w:val="20"/>
                <w:lang w:val="en-US" w:eastAsia="zh-CN"/>
              </w:rPr>
              <w:t>50.55</w:t>
            </w:r>
          </w:p>
        </w:tc>
        <w:tc>
          <w:tcPr>
            <w:tcW w:w="1263" w:type="dxa"/>
            <w:gridSpan w:val="3"/>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eastAsia="宋体" w:hAnsi="宋体" w:cs="宋体" w:hint="eastAsia"/>
                <w:color w:val="000000"/>
                <w:kern w:val="0"/>
                <w:sz w:val="24"/>
                <w:szCs w:val="24"/>
                <w:lang w:val="en-US" w:eastAsia="zh-CN"/>
              </w:rPr>
            </w:pPr>
            <w:r>
              <w:rPr>
                <w:rFonts w:ascii="宋体" w:hAnsi="宋体" w:cs="宋体" w:hint="eastAsia"/>
                <w:color w:val="000000"/>
                <w:kern w:val="0"/>
                <w:sz w:val="24"/>
                <w:szCs w:val="24"/>
                <w:lang w:val="en-US" w:eastAsia="zh-CN"/>
              </w:rPr>
              <w:t>0</w:t>
            </w:r>
          </w:p>
        </w:tc>
        <w:tc>
          <w:tcPr>
            <w:tcW w:w="839" w:type="dxa"/>
            <w:gridSpan w:val="2"/>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lang w:val="en-US" w:eastAsia="zh-CN"/>
              </w:rPr>
              <w:t>310.35</w:t>
            </w:r>
            <w:r>
              <w:rPr>
                <w:rFonts w:ascii="宋体" w:hAnsi="宋体" w:cs="宋体" w:hint="eastAsia"/>
                <w:color w:val="000000"/>
                <w:kern w:val="0"/>
                <w:sz w:val="20"/>
                <w:szCs w:val="20"/>
              </w:rPr>
              <w:t> </w:t>
            </w:r>
          </w:p>
        </w:tc>
        <w:tc>
          <w:tcPr>
            <w:tcW w:w="978"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lang w:val="en-US" w:eastAsia="zh-CN"/>
              </w:rPr>
              <w:t>0</w:t>
            </w:r>
            <w:r>
              <w:rPr>
                <w:rFonts w:ascii="宋体" w:hAnsi="宋体" w:cs="宋体" w:hint="eastAsia"/>
                <w:color w:val="000000"/>
                <w:kern w:val="0"/>
                <w:sz w:val="20"/>
                <w:szCs w:val="20"/>
              </w:rPr>
              <w:t> </w:t>
            </w:r>
          </w:p>
        </w:tc>
        <w:tc>
          <w:tcPr>
            <w:tcW w:w="979" w:type="dxa"/>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lang w:val="en-US" w:eastAsia="zh-CN"/>
              </w:rPr>
              <w:t>4489.57</w:t>
            </w:r>
            <w:r>
              <w:rPr>
                <w:rFonts w:ascii="宋体" w:hAnsi="宋体" w:cs="宋体" w:hint="eastAsia"/>
                <w:color w:val="000000"/>
                <w:kern w:val="0"/>
                <w:sz w:val="20"/>
                <w:szCs w:val="20"/>
              </w:rPr>
              <w:t> </w:t>
            </w:r>
          </w:p>
        </w:tc>
        <w:tc>
          <w:tcPr>
            <w:tcW w:w="978" w:type="dxa"/>
            <w:gridSpan w:val="2"/>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eastAsia="宋体" w:hAnsi="宋体" w:cs="宋体" w:hint="eastAsia"/>
                <w:color w:val="000000"/>
                <w:kern w:val="0"/>
                <w:sz w:val="24"/>
                <w:szCs w:val="24"/>
                <w:lang w:val="en-US" w:eastAsia="zh-CN"/>
              </w:rPr>
            </w:pPr>
            <w:r>
              <w:rPr>
                <w:rFonts w:ascii="宋体" w:hAnsi="宋体" w:cs="宋体" w:hint="eastAsia"/>
                <w:color w:val="000000"/>
                <w:kern w:val="0"/>
                <w:sz w:val="20"/>
                <w:szCs w:val="20"/>
                <w:lang w:val="en-US" w:eastAsia="zh-CN"/>
              </w:rPr>
              <w:t>0</w:t>
            </w:r>
            <w:r>
              <w:rPr>
                <w:rFonts w:ascii="宋体" w:hAnsi="宋体" w:cs="宋体" w:hint="eastAsia"/>
                <w:color w:val="000000"/>
                <w:kern w:val="0"/>
                <w:sz w:val="20"/>
                <w:szCs w:val="20"/>
              </w:rPr>
              <w:t> </w:t>
            </w:r>
          </w:p>
        </w:tc>
        <w:tc>
          <w:tcPr>
            <w:tcW w:w="978" w:type="dxa"/>
            <w:gridSpan w:val="3"/>
            <w:tcBorders>
              <w:top w:val="single" w:sz="4" w:space="0" w:color="000000"/>
              <w:left w:val="single" w:sz="4" w:space="0" w:color="000000"/>
              <w:bottom w:val="single" w:sz="4" w:space="0" w:color="000000"/>
              <w:right w:val="single" w:sz="4" w:space="0" w:color="00000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ascii="宋体" w:hAnsi="宋体" w:cs="宋体" w:hint="eastAsia"/>
                <w:color w:val="000000"/>
                <w:kern w:val="0"/>
                <w:sz w:val="20"/>
                <w:szCs w:val="20"/>
                <w:lang w:val="en-US" w:eastAsia="zh-CN"/>
              </w:rPr>
              <w:t>0</w:t>
            </w:r>
            <w:r>
              <w:rPr>
                <w:rFonts w:ascii="宋体" w:hAnsi="宋体" w:cs="宋体" w:hint="eastAsia"/>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gridAfter w:val="2"/>
          <w:wAfter w:w="618" w:type="dxa"/>
          <w:trHeight w:val="259"/>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W w:w="10770" w:type="dxa"/>
          <w:tblInd w:w="0" w:type="dxa"/>
          <w:tblLayout w:type="fixed"/>
          <w:tblCellMar>
            <w:top w:w="0" w:type="dxa"/>
            <w:left w:w="0" w:type="dxa"/>
            <w:bottom w:w="0" w:type="dxa"/>
            <w:right w:w="0" w:type="dxa"/>
          </w:tblCellMar>
        </w:tblPrEx>
        <w:trPr>
          <w:trHeight w:val="495"/>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hint="eastAsia"/>
                <w:color w:val="000000"/>
                <w:kern w:val="0"/>
                <w:sz w:val="20"/>
                <w:szCs w:val="20"/>
              </w:rPr>
            </w:pPr>
            <w:r>
              <w:rPr>
                <w:rFonts w:ascii="宋体" w:hAnsi="宋体" w:cs="宋体" w:hint="eastAsia"/>
                <w:color w:val="000000"/>
                <w:kern w:val="0"/>
                <w:sz w:val="20"/>
                <w:szCs w:val="20"/>
              </w:rPr>
              <w:t>填报说明：1.资产总额＝流动资产＋固定资产＋对外投资</w:t>
            </w:r>
            <w:r>
              <w:rPr>
                <w:rFonts w:ascii="宋体" w:hAnsi="宋体" w:cs="宋体" w:hint="eastAsia"/>
                <w:color w:val="000000"/>
                <w:kern w:val="0"/>
                <w:sz w:val="20"/>
                <w:szCs w:val="20"/>
                <w:lang w:val="en-US" w:eastAsia="zh-CN"/>
              </w:rPr>
              <w:t>+</w:t>
            </w:r>
            <w:r>
              <w:rPr>
                <w:rFonts w:ascii="宋体" w:hAnsi="宋体" w:cs="宋体" w:hint="eastAsia"/>
                <w:color w:val="000000"/>
                <w:kern w:val="0"/>
                <w:sz w:val="20"/>
                <w:szCs w:val="20"/>
              </w:rPr>
              <w:t>有价证券＋在建工程＋无形资产＋其他资产</w:t>
            </w:r>
          </w:p>
          <w:p>
            <w:pPr>
              <w:widowControl/>
              <w:ind w:firstLine="1000" w:firstLineChars="500"/>
              <w:rPr>
                <w:rFonts w:ascii="宋体" w:hAnsi="宋体" w:cs="宋体"/>
                <w:color w:val="000000"/>
                <w:kern w:val="0"/>
                <w:sz w:val="20"/>
                <w:szCs w:val="20"/>
              </w:rPr>
            </w:pPr>
            <w:r>
              <w:rPr>
                <w:rFonts w:ascii="宋体" w:hAnsi="宋体" w:cs="宋体" w:hint="eastAsia"/>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eastAsia="Times New Roman" w:hAnsi="Times New Roman"/>
                <w:kern w:val="0"/>
                <w:sz w:val="20"/>
                <w:szCs w:val="20"/>
              </w:rPr>
            </w:pPr>
          </w:p>
        </w:tc>
      </w:tr>
    </w:tbl>
    <w:p>
      <w:pPr>
        <w:ind w:firstLine="600" w:firstLineChars="200"/>
        <w:jc w:val="left"/>
        <w:rPr>
          <w:rFonts w:ascii="黑体" w:eastAsia="黑体" w:hAnsi="黑体" w:cs="黑体" w:hint="eastAsia"/>
          <w:sz w:val="30"/>
          <w:szCs w:val="30"/>
        </w:rPr>
      </w:pPr>
      <w:r>
        <w:rPr>
          <w:rFonts w:ascii="黑体" w:eastAsia="黑体" w:hAnsi="黑体" w:cs="黑体" w:hint="eastAsia"/>
          <w:sz w:val="30"/>
          <w:szCs w:val="30"/>
          <w:lang w:eastAsia="zh-CN"/>
        </w:rPr>
        <w:t>三、</w:t>
      </w:r>
      <w:r>
        <w:rPr>
          <w:rFonts w:ascii="黑体" w:eastAsia="黑体" w:hAnsi="黑体" w:cs="黑体" w:hint="eastAsia"/>
          <w:sz w:val="30"/>
          <w:szCs w:val="30"/>
        </w:rPr>
        <w:t>政府采购支出情况</w:t>
      </w:r>
    </w:p>
    <w:p>
      <w:pPr>
        <w:ind w:firstLine="600" w:firstLineChars="200"/>
        <w:rPr>
          <w:rFonts w:ascii="仿宋_GB2312" w:eastAsia="仿宋_GB2312" w:hAnsi="仿宋_GB2312" w:cs="仿宋_GB2312" w:hint="eastAsia"/>
          <w:sz w:val="30"/>
          <w:szCs w:val="30"/>
          <w:highlight w:val="none"/>
          <w:lang w:val="en-US" w:eastAsia="zh-CN"/>
        </w:rPr>
      </w:pPr>
      <w:r>
        <w:rPr>
          <w:rFonts w:ascii="仿宋_GB2312" w:eastAsia="仿宋_GB2312" w:hAnsi="仿宋_GB2312" w:cs="仿宋_GB2312" w:hint="eastAsia"/>
          <w:sz w:val="30"/>
          <w:szCs w:val="30"/>
          <w:highlight w:val="none"/>
          <w:lang w:val="en-US" w:eastAsia="zh-CN"/>
        </w:rPr>
        <w:t>2019年度，部门政府采购支出总额178.03万元，其中：政府采购货物支出178.03万元；政府采购工程支出0万元；政府采购服务支出0万元。授予中小企业合同金额0万元，占政府采购支出总额的0%。</w:t>
      </w:r>
    </w:p>
    <w:p>
      <w:pPr>
        <w:ind w:firstLine="600" w:firstLineChars="200"/>
        <w:jc w:val="left"/>
        <w:rPr>
          <w:rFonts w:ascii="黑体" w:eastAsia="黑体" w:hAnsi="黑体" w:cs="黑体" w:hint="eastAsia"/>
          <w:sz w:val="30"/>
          <w:szCs w:val="30"/>
          <w:highlight w:val="none"/>
          <w:lang w:val="en-US" w:eastAsia="zh-CN"/>
        </w:rPr>
      </w:pPr>
      <w:r>
        <w:rPr>
          <w:rFonts w:ascii="黑体" w:eastAsia="黑体" w:hAnsi="黑体" w:cs="黑体" w:hint="eastAsia"/>
          <w:sz w:val="30"/>
          <w:szCs w:val="30"/>
          <w:highlight w:val="none"/>
          <w:lang w:val="en-US" w:eastAsia="zh-CN"/>
        </w:rPr>
        <w:t>四、部门绩效自评情况</w:t>
      </w:r>
    </w:p>
    <w:p>
      <w:pPr>
        <w:widowControl/>
        <w:snapToGrid w:val="0"/>
        <w:spacing w:before="100" w:after="100" w:line="360" w:lineRule="auto"/>
        <w:ind w:firstLine="600" w:firstLineChars="200"/>
        <w:jc w:val="left"/>
        <w:rPr>
          <w:rFonts w:ascii="仿宋_GB2312" w:eastAsia="仿宋_GB2312" w:hAnsi="仿宋_GB2312" w:cs="仿宋_GB2312" w:hint="eastAsia"/>
          <w:sz w:val="30"/>
          <w:szCs w:val="30"/>
          <w:highlight w:val="none"/>
          <w:lang w:val="en-US" w:eastAsia="zh-CN"/>
        </w:rPr>
      </w:pPr>
      <w:r>
        <w:rPr>
          <w:rFonts w:ascii="仿宋_GB2312" w:eastAsia="仿宋_GB2312" w:hAnsi="仿宋_GB2312" w:cs="仿宋_GB2312" w:hint="eastAsia"/>
          <w:sz w:val="30"/>
          <w:szCs w:val="30"/>
          <w:highlight w:val="none"/>
          <w:lang w:val="en-US" w:eastAsia="zh-CN"/>
        </w:rPr>
        <w:t>部门绩效自评情况详见附表（附表9—附表11）。</w:t>
      </w:r>
    </w:p>
    <w:p>
      <w:pPr>
        <w:widowControl/>
        <w:snapToGrid w:val="0"/>
        <w:spacing w:before="100" w:after="100" w:line="360" w:lineRule="auto"/>
        <w:ind w:firstLine="600" w:firstLineChars="200"/>
        <w:jc w:val="left"/>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五、其他重要事项情况说明</w:t>
      </w:r>
    </w:p>
    <w:p>
      <w:pPr>
        <w:widowControl/>
        <w:snapToGrid w:val="0"/>
        <w:spacing w:before="100" w:after="100" w:line="360" w:lineRule="auto"/>
        <w:ind w:firstLine="600" w:firstLineChars="200"/>
        <w:jc w:val="left"/>
        <w:rPr>
          <w:rFonts w:ascii="仿宋_GB2312" w:eastAsia="仿宋_GB2312" w:hAnsi="黑体" w:cs="方正小标宋简体" w:hint="eastAsia"/>
          <w:sz w:val="30"/>
          <w:szCs w:val="30"/>
          <w:lang w:eastAsia="zh-CN"/>
        </w:rPr>
      </w:pPr>
      <w:r>
        <w:rPr>
          <w:rFonts w:ascii="仿宋_GB2312" w:eastAsia="仿宋_GB2312" w:hAnsi="黑体" w:cs="方正小标宋简体" w:hint="eastAsia"/>
          <w:sz w:val="30"/>
          <w:szCs w:val="30"/>
          <w:lang w:eastAsia="zh-CN"/>
        </w:rPr>
        <w:t>无。</w:t>
      </w:r>
    </w:p>
    <w:p>
      <w:pPr>
        <w:widowControl/>
        <w:snapToGrid w:val="0"/>
        <w:spacing w:before="100" w:after="100" w:line="360" w:lineRule="auto"/>
        <w:ind w:firstLine="600" w:firstLineChars="200"/>
        <w:jc w:val="left"/>
        <w:rPr>
          <w:rFonts w:ascii="黑体" w:eastAsia="黑体" w:hAnsi="黑体" w:cs="黑体" w:hint="eastAsia"/>
          <w:sz w:val="30"/>
          <w:szCs w:val="30"/>
          <w:lang w:val="en-US" w:eastAsia="zh-CN"/>
        </w:rPr>
      </w:pPr>
      <w:r>
        <w:rPr>
          <w:rFonts w:ascii="黑体" w:eastAsia="黑体" w:hAnsi="黑体" w:cs="黑体" w:hint="eastAsia"/>
          <w:sz w:val="30"/>
          <w:szCs w:val="30"/>
          <w:lang w:val="en-US" w:eastAsia="zh-CN"/>
        </w:rPr>
        <w:t>六、相关口径说明</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（一）</w:t>
      </w:r>
      <w:r>
        <w:rPr>
          <w:rFonts w:ascii="仿宋_GB2312" w:eastAsia="仿宋_GB2312" w:hAnsi="黑体" w:cs="方正小标宋简体" w:hint="eastAsia"/>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（二）</w:t>
      </w:r>
      <w:r>
        <w:rPr>
          <w:rFonts w:ascii="仿宋_GB2312" w:eastAsia="仿宋_GB2312" w:hAnsi="黑体" w:cs="方正小标宋简体" w:hint="eastAsia"/>
          <w:sz w:val="30"/>
          <w:szCs w:val="30"/>
        </w:rPr>
        <w:t>机关运行经费指行政单位和参照公务员法管理的事业单位使用一般公共预算财政拨款安排的基本支出中的日常公用经费支出</w:t>
      </w:r>
      <w:r>
        <w:rPr>
          <w:rFonts w:ascii="仿宋_GB2312" w:eastAsia="仿宋_GB2312" w:hAnsi="黑体" w:cs="方正小标宋简体" w:hint="eastAsia"/>
          <w:sz w:val="30"/>
          <w:szCs w:val="30"/>
          <w:lang w:eastAsia="zh-CN"/>
        </w:rPr>
        <w:t>。</w:t>
      </w:r>
    </w:p>
    <w:p>
      <w:pPr>
        <w:ind w:firstLine="600" w:firstLineChars="200"/>
        <w:jc w:val="left"/>
        <w:rPr>
          <w:rFonts w:ascii="仿宋_GB2312" w:eastAsia="仿宋_GB2312" w:hAnsi="黑体" w:cs="方正小标宋简体" w:hint="eastAsia"/>
          <w:sz w:val="30"/>
          <w:szCs w:val="30"/>
          <w:highlight w:val="none"/>
        </w:rPr>
      </w:pPr>
      <w:r>
        <w:rPr>
          <w:rFonts w:ascii="仿宋_GB2312" w:eastAsia="仿宋_GB2312" w:hAnsi="黑体" w:cs="方正小标宋简体" w:hint="eastAsia"/>
          <w:sz w:val="30"/>
          <w:szCs w:val="30"/>
          <w:lang w:eastAsia="zh-CN"/>
        </w:rPr>
        <w:t>（三）</w:t>
      </w:r>
      <w:r>
        <w:rPr>
          <w:rFonts w:ascii="仿宋_GB2312" w:eastAsia="仿宋_GB2312" w:hAnsi="黑体" w:cs="方正小标宋简体" w:hint="eastAsia"/>
          <w:sz w:val="30"/>
          <w:szCs w:val="30"/>
        </w:rPr>
        <w:t>按照党中央、国务院有关文件及部门预算管理有关规定，“三公”经费包括因公出国（境）费、公务用车购置及运行维护费、公务接待费。</w:t>
      </w:r>
      <w:r>
        <w:rPr>
          <w:rFonts w:ascii="仿宋_GB2312" w:eastAsia="仿宋_GB2312" w:hAnsi="黑体" w:cs="方正小标宋简体" w:hint="eastAsia"/>
          <w:sz w:val="30"/>
          <w:szCs w:val="30"/>
          <w:highlight w:val="none"/>
        </w:rPr>
        <w:t>其中：因公出国（境）费，指单位公务出国（境）的国际旅费、国外城市间交通费、住宿费、伙食费、培训费、公杂费等支出；公务用车购置费，指公务用车购置支出（含车辆购置税</w:t>
      </w:r>
      <w:r>
        <w:rPr>
          <w:rFonts w:ascii="仿宋_GB2312" w:eastAsia="仿宋_GB2312" w:hAnsi="黑体" w:cs="方正小标宋简体" w:hint="eastAsia"/>
          <w:sz w:val="30"/>
          <w:szCs w:val="30"/>
          <w:highlight w:val="none"/>
          <w:lang w:eastAsia="zh-CN"/>
        </w:rPr>
        <w:t>、牌照费</w:t>
      </w:r>
      <w:r>
        <w:rPr>
          <w:rFonts w:ascii="仿宋_GB2312" w:eastAsia="仿宋_GB2312" w:hAnsi="黑体" w:cs="方正小标宋简体" w:hint="eastAsia"/>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lang w:eastAsia="zh-CN"/>
        </w:rPr>
        <w:t>（四）</w:t>
      </w:r>
      <w:r>
        <w:rPr>
          <w:rFonts w:ascii="仿宋_GB2312" w:eastAsia="仿宋_GB2312" w:hAnsi="黑体" w:cs="方正小标宋简体" w:hint="eastAsia"/>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jc w:val="center"/>
        <w:rPr>
          <w:rFonts w:ascii="黑体" w:eastAsia="黑体" w:hAnsi="黑体" w:cs="方正小标宋简体" w:hint="eastAsia"/>
          <w:sz w:val="32"/>
          <w:szCs w:val="32"/>
        </w:rPr>
      </w:pPr>
      <w:r>
        <w:rPr>
          <w:rFonts w:ascii="黑体" w:eastAsia="黑体" w:hAnsi="黑体" w:cs="方正小标宋简体" w:hint="eastAsia"/>
          <w:sz w:val="32"/>
          <w:szCs w:val="32"/>
        </w:rPr>
        <w:t>第</w:t>
      </w:r>
      <w:r>
        <w:rPr>
          <w:rFonts w:ascii="黑体" w:eastAsia="黑体" w:hAnsi="黑体" w:cs="方正小标宋简体" w:hint="eastAsia"/>
          <w:sz w:val="32"/>
          <w:szCs w:val="32"/>
          <w:lang w:eastAsia="zh-CN"/>
        </w:rPr>
        <w:t>五</w:t>
      </w:r>
      <w:r>
        <w:rPr>
          <w:rFonts w:ascii="黑体" w:eastAsia="黑体" w:hAnsi="黑体" w:cs="方正小标宋简体" w:hint="eastAsia"/>
          <w:sz w:val="32"/>
          <w:szCs w:val="32"/>
        </w:rPr>
        <w:t>部分  名词解释</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一、“三公”经费</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三公经费是指财政拨款支出安排的出国（境）费、车辆购置及运行费、公务接待费这三项经费。</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二、部门预算</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部门预算是部门依据国家有关政策规定及其行使职能的需要，由基层预算单位编制，逐级上报、审核、汇总，经财政部门审核后提交立法机关依法批准的涵盖部门各项收支的综合财政计划。主要包括：收入、基本支出和项目预算等内容。</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l）收入预算的编制。部门应根据历年收入情况和下一年度收入增减变动因素，测算本部门取得的各项收入（不含国家税收）来源。收入预算要按收入类别逐项测算、编制，其中部门自行组织的行政性收费和预算外收入，要列明具体的单位和项目。</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2）基本支出预算的编制。各部门要根据国家现有的经费政策和规定测算本部门的人员经费和公用经费；要按照预算年度所有因素和事项，分别轻重缓急测算每一级科目支出需求。基本支出预算包括人员经费和公用经费。人员经费包括基本工资、补助工资、其他工资、职工福利费和社会保障费等。人员经费预算应按机构编制主管部门批准的人员编制内的实有人数和国家规定的工资、津贴、补贴标准测算。公用经费包括公务费、小型设备购置费和修缮费、业务费和业务招待费等。各部门和单位应根据现有的公共资源情况和业务工作性质，按照财政部核定的公用经费单项定额标准和调整系数测算、编制。</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3）项目预算的编制。项目预算包括：行政事业单位公用经费中的大型修缮费、购置费等；列入部门预算中的国家专门设立的事业发展项目支出；基本建设、挖潜改造、科技三项费用、支援农村生产性支出等建设性专项支出。部门申报项目时要进行可行性论证，对提出的项目从技术、财务、成本费用、组织机构、社会效益等方面进行分析，并列入项目备选库，财政部根据各部门事业发展需要和国家财力可能统筹安排。</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三、部门决算</w:t>
      </w:r>
    </w:p>
    <w:p>
      <w:pPr>
        <w:ind w:firstLine="600" w:firstLineChars="200"/>
        <w:jc w:val="left"/>
        <w:rPr>
          <w:rFonts w:ascii="仿宋_GB2312" w:eastAsia="仿宋_GB2312" w:hAnsi="黑体" w:cs="方正小标宋简体" w:hint="eastAsia"/>
          <w:sz w:val="30"/>
          <w:szCs w:val="30"/>
        </w:rPr>
      </w:pPr>
      <w:r>
        <w:rPr>
          <w:rFonts w:ascii="仿宋_GB2312" w:eastAsia="仿宋_GB2312" w:hAnsi="黑体" w:cs="方正小标宋简体" w:hint="eastAsia"/>
          <w:sz w:val="30"/>
          <w:szCs w:val="30"/>
        </w:rPr>
        <w:t>部门决算是列入年度部门预算编制范围的各部门和单位在每个会计年度终了之后,根据国家有关法律法规、会计制度及财政部门的编审要求,在日常会计核算的基础上编制的、综合反映本单位财务收支状况和各项资金管理状况以及人员、机构等信息的总结性文件。部门决算是国家财政决算的重要组成部分。国家财政决算是各级政府、各部门和单位所有决算形式的总称,按行政层级划分,它包括中央政府财政决算和地方各级政府财政决算;按组织形式划分, 包括财政总决算、部门决算和单位决</w:t>
      </w:r>
      <w:bookmarkStart w:id="0" w:name="_GoBack"/>
      <w:bookmarkEnd w:id="0"/>
      <w:r>
        <w:rPr>
          <w:rFonts w:ascii="仿宋_GB2312" w:eastAsia="仿宋_GB2312" w:hAnsi="黑体" w:cs="方正小标宋简体" w:hint="eastAsia"/>
          <w:sz w:val="30"/>
          <w:szCs w:val="30"/>
        </w:rPr>
        <w:t>算。政府各部门所属的行政、事业、企业单位,按其主管部门部署编制本单位决算。各部门在审核汇总所属各单位决算基础上,连同部门本身的决算收支数字,汇编成本部门决算,并报送本级财政部门。县级以上各级财政部门编制本级政府财政总决算。部门决算是单位决算的汇总,也是财政总决算的重要依据和补充,它在各级政府决算中既起到承上启下的作用,又在一定意义上与财政总决算处于并列的地位。</w:t>
      </w:r>
    </w:p>
    <w:p/>
    <w:p>
      <w:pPr>
        <w:rPr>
          <w:rFonts w:ascii="Arial" w:eastAsia="Arial" w:hAnsi="Arial" w:cs="Arial"/>
          <w:b/>
          <w:sz w:val="36"/>
        </w:rPr>
      </w:pPr>
      <w:r>
        <w:rPr>
          <w:rFonts w:ascii="Arial" w:eastAsia="Arial" w:hAnsi="Arial" w:cs="Arial"/>
          <w:b/>
          <w:sz w:val="36"/>
        </w:rPr>
        <w:t>监督索引号53340000433301111</w:t>
      </w:r>
    </w:p>
    <w:sectPr>
      <w:headerReference w:type="default" r:id="rId12"/>
      <w:footerReference w:type="even" r:id="rId13"/>
      <w:footerReference w:type="default" r:id="rId14"/>
      <w:pgSz w:w="11906" w:h="16838"/>
      <w:pgMar w:top="2098" w:right="1418" w:bottom="1588" w:left="1644"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8</w:t>
    </w:r>
    <w:r>
      <w:fldChar w:fldCharType="end"/>
    </w: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E1F04D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BodyText">
    <w:name w:val="Body Text"/>
    <w:basedOn w:val="Normal"/>
    <w:qFormat/>
    <w:pPr>
      <w:spacing w:before="93" w:beforeLines="30"/>
    </w:pPr>
    <w:rPr>
      <w:rFonts w:ascii="仿宋_GB2312" w:eastAsia="仿宋_GB2312"/>
      <w:sz w:val="30"/>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xueqin</cp:lastModifiedBy>
  <cp:revision>0</cp:revision>
  <dcterms:created xsi:type="dcterms:W3CDTF">2020-09-01T07:15:07Z</dcterms:created>
  <dcterms:modified xsi:type="dcterms:W3CDTF">2020-09-01T07:15:23Z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