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0"/>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891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迪庆藏族自治州2019年重点工作情况解释说明汇总表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860" w:type="dxa"/>
            <w:shd w:val="clear" w:color="auto" w:fill="auto"/>
            <w:vAlign w:val="center"/>
          </w:tcPr>
          <w:p>
            <w:pPr>
              <w:rPr>
                <w:rFonts w:hint="eastAsia" w:ascii="等线" w:hAnsi="等线" w:eastAsia="等线" w:cs="等线"/>
                <w:i w:val="0"/>
                <w:color w:val="000000"/>
                <w:sz w:val="22"/>
                <w:szCs w:val="22"/>
                <w:u w:val="none"/>
              </w:rPr>
            </w:pPr>
          </w:p>
        </w:tc>
        <w:tc>
          <w:tcPr>
            <w:tcW w:w="7050" w:type="dxa"/>
            <w:shd w:val="clear" w:color="auto" w:fill="auto"/>
            <w:vAlign w:val="center"/>
          </w:tcPr>
          <w:p>
            <w:pPr>
              <w:rPr>
                <w:rFonts w:hint="default"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1860" w:type="dxa"/>
            <w:shd w:val="clear" w:color="auto" w:fill="auto"/>
            <w:vAlign w:val="center"/>
          </w:tcPr>
          <w:p>
            <w:pPr>
              <w:rPr>
                <w:rFonts w:hint="eastAsia" w:ascii="等线" w:hAnsi="等线" w:eastAsia="等线" w:cs="等线"/>
                <w:i w:val="0"/>
                <w:color w:val="000000"/>
                <w:sz w:val="22"/>
                <w:szCs w:val="22"/>
                <w:u w:val="none"/>
              </w:rPr>
            </w:pPr>
          </w:p>
        </w:tc>
        <w:tc>
          <w:tcPr>
            <w:tcW w:w="7050" w:type="dxa"/>
            <w:shd w:val="clear" w:color="auto" w:fill="auto"/>
            <w:vAlign w:val="center"/>
          </w:tcPr>
          <w:p>
            <w:pPr>
              <w:rPr>
                <w:rFonts w:hint="default"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转移支付</w:t>
            </w:r>
          </w:p>
        </w:tc>
        <w:tc>
          <w:tcPr>
            <w:tcW w:w="7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201</w:t>
            </w:r>
            <w:r>
              <w:rPr>
                <w:rFonts w:hint="eastAsia" w:ascii="宋体" w:hAnsi="宋体" w:eastAsia="宋体" w:cs="宋体"/>
                <w:i w:val="0"/>
                <w:color w:val="000000"/>
                <w:sz w:val="20"/>
                <w:szCs w:val="20"/>
                <w:u w:val="none"/>
                <w:lang w:val="en-US" w:eastAsia="zh-CN"/>
              </w:rPr>
              <w:t>9</w:t>
            </w:r>
            <w:r>
              <w:rPr>
                <w:rFonts w:hint="eastAsia" w:ascii="宋体" w:hAnsi="宋体" w:eastAsia="宋体" w:cs="宋体"/>
                <w:i w:val="0"/>
                <w:color w:val="000000"/>
                <w:sz w:val="20"/>
                <w:szCs w:val="20"/>
                <w:u w:val="none"/>
              </w:rPr>
              <w:t>年，</w:t>
            </w:r>
            <w:r>
              <w:rPr>
                <w:rFonts w:hint="eastAsia" w:ascii="宋体" w:hAnsi="宋体" w:eastAsia="宋体" w:cs="宋体"/>
                <w:i w:val="0"/>
                <w:color w:val="000000"/>
                <w:sz w:val="20"/>
                <w:szCs w:val="20"/>
                <w:u w:val="none"/>
                <w:lang w:eastAsia="zh-CN"/>
              </w:rPr>
              <w:t>州</w:t>
            </w:r>
            <w:r>
              <w:rPr>
                <w:rFonts w:hint="eastAsia" w:ascii="宋体" w:hAnsi="宋体" w:eastAsia="宋体" w:cs="宋体"/>
                <w:i w:val="0"/>
                <w:color w:val="000000"/>
                <w:sz w:val="20"/>
                <w:szCs w:val="20"/>
                <w:u w:val="none"/>
              </w:rPr>
              <w:t>财政</w:t>
            </w:r>
            <w:r>
              <w:rPr>
                <w:rFonts w:hint="eastAsia" w:ascii="宋体" w:hAnsi="宋体" w:eastAsia="宋体" w:cs="宋体"/>
                <w:i w:val="0"/>
                <w:color w:val="000000"/>
                <w:sz w:val="20"/>
                <w:szCs w:val="20"/>
                <w:u w:val="none"/>
                <w:lang w:eastAsia="zh-CN"/>
              </w:rPr>
              <w:t>局将</w:t>
            </w:r>
            <w:r>
              <w:rPr>
                <w:rFonts w:hint="eastAsia" w:ascii="宋体" w:hAnsi="宋体" w:eastAsia="宋体" w:cs="宋体"/>
                <w:i w:val="0"/>
                <w:color w:val="000000"/>
                <w:sz w:val="20"/>
                <w:szCs w:val="20"/>
                <w:u w:val="none"/>
              </w:rPr>
              <w:t>转移支付资金向</w:t>
            </w:r>
            <w:r>
              <w:rPr>
                <w:rFonts w:hint="eastAsia" w:ascii="宋体" w:hAnsi="宋体" w:eastAsia="宋体" w:cs="宋体"/>
                <w:i w:val="0"/>
                <w:color w:val="000000"/>
                <w:sz w:val="20"/>
                <w:szCs w:val="20"/>
                <w:u w:val="none"/>
                <w:lang w:eastAsia="zh-CN"/>
              </w:rPr>
              <w:t>基层</w:t>
            </w:r>
            <w:r>
              <w:rPr>
                <w:rFonts w:hint="eastAsia" w:ascii="宋体" w:hAnsi="宋体" w:eastAsia="宋体" w:cs="宋体"/>
                <w:i w:val="0"/>
                <w:color w:val="000000"/>
                <w:sz w:val="20"/>
                <w:szCs w:val="20"/>
                <w:u w:val="none"/>
              </w:rPr>
              <w:t>管理绩效较好地区倾斜，进一步缩小区域间财力水平差距，推动解决我</w:t>
            </w:r>
            <w:r>
              <w:rPr>
                <w:rFonts w:hint="eastAsia" w:ascii="宋体" w:hAnsi="宋体" w:eastAsia="宋体" w:cs="宋体"/>
                <w:i w:val="0"/>
                <w:color w:val="000000"/>
                <w:sz w:val="20"/>
                <w:szCs w:val="20"/>
                <w:u w:val="none"/>
                <w:lang w:eastAsia="zh-CN"/>
              </w:rPr>
              <w:t>州</w:t>
            </w:r>
            <w:r>
              <w:rPr>
                <w:rFonts w:hint="eastAsia" w:ascii="宋体" w:hAnsi="宋体" w:eastAsia="宋体" w:cs="宋体"/>
                <w:i w:val="0"/>
                <w:color w:val="000000"/>
                <w:sz w:val="20"/>
                <w:szCs w:val="20"/>
                <w:u w:val="none"/>
              </w:rPr>
              <w:t>区域发展不平衡、不充分的问题。全面落实增收留用和税收增收以奖代补政策，坚持保障激励并重，更加注重激励、奖惩结合，推动县（市、区）因地制宜、利用优势发展产业，壮大财源，增强发展内生动力。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7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举借债务</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2019年迪庆州举借债务情况：经省人民政府批准，2019年省财政厅云财债﹝2019﹞1号文件核定我州2019年地方政府债务限额124.4亿元，其中一般债券107.54亿元，专项债券16.9亿元，当年新</w:t>
            </w:r>
            <w:bookmarkStart w:id="0" w:name="_GoBack"/>
            <w:bookmarkEnd w:id="0"/>
            <w:r>
              <w:rPr>
                <w:rFonts w:hint="eastAsia" w:ascii="宋体" w:hAnsi="宋体" w:eastAsia="宋体" w:cs="宋体"/>
                <w:i w:val="0"/>
                <w:color w:val="000000"/>
                <w:sz w:val="20"/>
                <w:szCs w:val="20"/>
                <w:u w:val="none"/>
              </w:rPr>
              <w:t xml:space="preserve">增地方政府债务限额20.74亿元。2019年，全州共发行地方政府债券26.85亿元，其中新增债券20.74亿元，再融资债券6.11亿元。新增债券重点用于中央和省、州确定的异地扶贫搬迁、生态建设和环境保护、棚户区改造、农村人居环境整治、深度贫困地区贫困村提升工程等重点领域和在建公益性项目后续融资。 </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5"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预算绩效</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面推进预算绩效管理，财政资金绩效稳步提高。单位在申请资金的同时，就承担相应资金使用责任，资金使用效果的好坏，就是相应的绩效责任。近年来，预算管理改革工作致力于培养预算单位树立绩效管理的主体责任意识，将绩效管理的理念和方法融入到预算管理全过程，基本做到部门预算编制时同步开展事前预算绩效评价，实现预算绩效目标与部门预算同步申报、同步审核、同步批复、同步下达和同步公开。探索绩效评价结果应用机制，绩效目标审核结果作为部门预算安排的重要因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53F16"/>
    <w:rsid w:val="2D572705"/>
    <w:rsid w:val="3003771F"/>
    <w:rsid w:val="31D53F16"/>
    <w:rsid w:val="4DC61100"/>
    <w:rsid w:val="4EB90D03"/>
    <w:rsid w:val="58564C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迪庆州财政局</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2019-10-06T07:03:00Z</dcterms:created>
  <dc:creator>和琼芬</dc:creator>
  <cp:lastModifiedBy>和琼芬</cp:lastModifiedBy>
  <cp:lastPrinted>2019-10-09T00:54:00Z</cp:lastPrinted>
  <dcterms:modified xsi:type="dcterms:W3CDTF">2020-08-24T00:57:31Z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