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仿宋"/>
          <w:sz w:val="36"/>
          <w:szCs w:val="36"/>
        </w:rPr>
      </w:pPr>
    </w:p>
    <w:p>
      <w:pPr>
        <w:widowControl/>
        <w:jc w:val="left"/>
        <w:rPr>
          <w:rFonts w:ascii="仿宋" w:hAnsi="仿宋" w:eastAsia="仿宋" w:cs="仿宋"/>
          <w:sz w:val="36"/>
          <w:szCs w:val="36"/>
        </w:rPr>
      </w:pPr>
      <w:r>
        <w:rPr>
          <w:rFonts w:hint="eastAsia" w:ascii="仿宋" w:hAnsi="仿宋" w:eastAsia="仿宋" w:cs="仿宋"/>
          <w:sz w:val="36"/>
          <w:szCs w:val="36"/>
        </w:rPr>
        <w:t>附件1：部门整体支出绩效评价报告</w:t>
      </w:r>
    </w:p>
    <w:p>
      <w:pPr>
        <w:jc w:val="center"/>
        <w:rPr>
          <w:rFonts w:ascii="仿宋" w:hAnsi="仿宋" w:eastAsia="仿宋" w:cs="仿宋"/>
          <w:b/>
          <w:bCs/>
          <w:sz w:val="30"/>
          <w:szCs w:val="30"/>
        </w:rPr>
      </w:pPr>
    </w:p>
    <w:p>
      <w:pPr>
        <w:jc w:val="center"/>
        <w:rPr>
          <w:rFonts w:hint="eastAsia" w:ascii="仿宋" w:hAnsi="仿宋" w:eastAsia="仿宋" w:cs="仿宋"/>
          <w:bCs/>
          <w:sz w:val="48"/>
          <w:szCs w:val="48"/>
        </w:rPr>
      </w:pPr>
      <w:r>
        <w:rPr>
          <w:rFonts w:hint="eastAsia" w:ascii="仿宋" w:hAnsi="仿宋" w:eastAsia="仿宋" w:cs="仿宋"/>
          <w:bCs/>
          <w:sz w:val="48"/>
          <w:szCs w:val="48"/>
        </w:rPr>
        <w:t>迪庆藏族自治州图书馆2019年度部门</w:t>
      </w:r>
    </w:p>
    <w:p>
      <w:pPr>
        <w:jc w:val="center"/>
        <w:rPr>
          <w:rFonts w:hint="eastAsia" w:ascii="仿宋" w:hAnsi="仿宋" w:eastAsia="仿宋" w:cs="仿宋"/>
          <w:bCs/>
          <w:sz w:val="48"/>
          <w:szCs w:val="48"/>
        </w:rPr>
      </w:pPr>
      <w:r>
        <w:rPr>
          <w:rFonts w:hint="eastAsia" w:ascii="仿宋" w:hAnsi="仿宋" w:eastAsia="仿宋" w:cs="仿宋"/>
          <w:bCs/>
          <w:sz w:val="48"/>
          <w:szCs w:val="48"/>
        </w:rPr>
        <w:t>整体支出绩效自评报告</w:t>
      </w:r>
    </w:p>
    <w:p>
      <w:pPr>
        <w:jc w:val="center"/>
        <w:rPr>
          <w:rFonts w:hint="eastAsia" w:ascii="仿宋" w:hAnsi="仿宋" w:eastAsia="仿宋" w:cs="仿宋"/>
          <w:b/>
          <w:bCs/>
          <w:sz w:val="48"/>
          <w:szCs w:val="48"/>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adjustRightInd w:val="0"/>
        <w:snapToGrid w:val="0"/>
        <w:spacing w:line="720" w:lineRule="auto"/>
        <w:rPr>
          <w:rFonts w:hint="eastAsia" w:ascii="仿宋" w:hAnsi="仿宋" w:eastAsia="仿宋" w:cs="仿宋"/>
          <w:b/>
          <w:bCs/>
          <w:sz w:val="32"/>
          <w:szCs w:val="32"/>
        </w:rPr>
      </w:pPr>
      <w:r>
        <w:rPr>
          <w:rFonts w:hint="eastAsia" w:ascii="仿宋" w:hAnsi="仿宋" w:eastAsia="仿宋" w:cs="仿宋"/>
          <w:b/>
          <w:bCs/>
          <w:sz w:val="36"/>
          <w:szCs w:val="36"/>
        </w:rPr>
        <w:t>项目名称：</w:t>
      </w:r>
      <w:r>
        <w:rPr>
          <w:rFonts w:hint="eastAsia" w:ascii="仿宋" w:hAnsi="仿宋" w:eastAsia="仿宋" w:cs="仿宋"/>
          <w:b/>
          <w:bCs/>
          <w:sz w:val="32"/>
          <w:szCs w:val="32"/>
        </w:rPr>
        <w:t>迪庆藏族自治州图书馆2019年部门整体支出</w:t>
      </w:r>
    </w:p>
    <w:p>
      <w:pPr>
        <w:adjustRightInd w:val="0"/>
        <w:snapToGrid w:val="0"/>
        <w:spacing w:line="720" w:lineRule="auto"/>
        <w:rPr>
          <w:rFonts w:hint="eastAsia" w:ascii="仿宋" w:hAnsi="仿宋" w:eastAsia="仿宋" w:cs="仿宋"/>
          <w:b/>
          <w:bCs/>
          <w:sz w:val="36"/>
          <w:szCs w:val="36"/>
        </w:rPr>
      </w:pPr>
      <w:r>
        <w:rPr>
          <w:rFonts w:hint="eastAsia" w:ascii="仿宋" w:hAnsi="仿宋" w:eastAsia="仿宋" w:cs="仿宋"/>
          <w:b/>
          <w:bCs/>
          <w:sz w:val="36"/>
          <w:szCs w:val="36"/>
        </w:rPr>
        <w:t>部门名称：迪庆藏族自治州图书馆</w:t>
      </w:r>
    </w:p>
    <w:p>
      <w:pPr>
        <w:adjustRightInd w:val="0"/>
        <w:snapToGrid w:val="0"/>
        <w:spacing w:line="720" w:lineRule="auto"/>
        <w:rPr>
          <w:rFonts w:hint="eastAsia" w:ascii="仿宋" w:hAnsi="仿宋" w:eastAsia="仿宋" w:cs="仿宋"/>
          <w:b/>
          <w:bCs/>
          <w:sz w:val="36"/>
          <w:szCs w:val="36"/>
        </w:rPr>
      </w:pPr>
      <w:r>
        <w:rPr>
          <w:rFonts w:hint="eastAsia" w:ascii="仿宋" w:hAnsi="仿宋" w:eastAsia="仿宋" w:cs="仿宋"/>
          <w:b/>
          <w:bCs/>
          <w:sz w:val="36"/>
          <w:szCs w:val="36"/>
        </w:rPr>
        <w:t>评价机构：迪庆藏族自治州图书馆</w:t>
      </w:r>
    </w:p>
    <w:p>
      <w:pPr>
        <w:adjustRightInd w:val="0"/>
        <w:snapToGrid w:val="0"/>
        <w:ind w:left="1260" w:leftChars="600"/>
        <w:rPr>
          <w:rFonts w:hint="eastAsia" w:ascii="仿宋" w:hAnsi="仿宋" w:eastAsia="仿宋" w:cs="仿宋"/>
          <w:b/>
          <w:bCs/>
          <w:sz w:val="36"/>
          <w:szCs w:val="36"/>
        </w:rPr>
      </w:pPr>
    </w:p>
    <w:p>
      <w:pPr>
        <w:pStyle w:val="2"/>
        <w:rPr>
          <w:rFonts w:hint="eastAsia" w:ascii="仿宋" w:hAnsi="仿宋" w:eastAsia="仿宋" w:cs="仿宋"/>
        </w:rPr>
      </w:pPr>
    </w:p>
    <w:p>
      <w:pPr>
        <w:ind w:left="1218" w:leftChars="580"/>
        <w:rPr>
          <w:rFonts w:hint="eastAsia" w:ascii="仿宋" w:hAnsi="仿宋" w:eastAsia="仿宋" w:cs="仿宋"/>
          <w:b/>
          <w:bCs/>
          <w:sz w:val="36"/>
          <w:szCs w:val="36"/>
        </w:rPr>
      </w:pPr>
    </w:p>
    <w:p>
      <w:pPr>
        <w:jc w:val="center"/>
        <w:rPr>
          <w:rFonts w:hint="eastAsia" w:ascii="仿宋" w:hAnsi="仿宋" w:eastAsia="仿宋" w:cs="仿宋"/>
          <w:b/>
          <w:bCs/>
          <w:sz w:val="36"/>
          <w:szCs w:val="36"/>
        </w:rPr>
      </w:pPr>
      <w:r>
        <w:rPr>
          <w:rFonts w:hint="eastAsia" w:ascii="仿宋" w:hAnsi="仿宋" w:eastAsia="仿宋" w:cs="仿宋"/>
          <w:b/>
          <w:bCs/>
          <w:sz w:val="36"/>
          <w:szCs w:val="36"/>
        </w:rPr>
        <w:t>2020年5月</w:t>
      </w:r>
    </w:p>
    <w:p>
      <w:pPr>
        <w:jc w:val="center"/>
        <w:rPr>
          <w:rFonts w:hint="eastAsia" w:ascii="仿宋" w:hAnsi="仿宋" w:eastAsia="仿宋" w:cs="仿宋"/>
          <w:b/>
          <w:bCs/>
          <w:sz w:val="36"/>
          <w:szCs w:val="36"/>
        </w:rPr>
      </w:pPr>
    </w:p>
    <w:p>
      <w:pPr>
        <w:widowControl/>
        <w:jc w:val="left"/>
        <w:rPr>
          <w:rFonts w:hint="eastAsia" w:ascii="仿宋" w:hAnsi="仿宋" w:eastAsia="仿宋" w:cs="仿宋"/>
          <w:b/>
          <w:bCs/>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p>
    <w:p>
      <w:pPr>
        <w:pStyle w:val="9"/>
        <w:widowControl w:val="0"/>
        <w:spacing w:after="0" w:line="240" w:lineRule="auto"/>
        <w:ind w:left="420" w:leftChars="200"/>
        <w:jc w:val="both"/>
        <w:rPr>
          <w:rFonts w:hint="eastAsia" w:ascii="仿宋" w:hAnsi="仿宋" w:eastAsia="仿宋" w:cs="仿宋"/>
          <w:kern w:val="2"/>
          <w:sz w:val="30"/>
          <w:szCs w:val="30"/>
          <w:lang w:val="zh-TW" w:eastAsia="zh-TW"/>
        </w:rPr>
      </w:pPr>
    </w:p>
    <w:p>
      <w:pPr>
        <w:pStyle w:val="9"/>
        <w:widowControl w:val="0"/>
        <w:spacing w:after="0" w:line="240" w:lineRule="auto"/>
        <w:jc w:val="both"/>
        <w:rPr>
          <w:rFonts w:hint="eastAsia" w:ascii="仿宋" w:hAnsi="仿宋" w:eastAsia="仿宋" w:cs="仿宋"/>
          <w:b/>
          <w:bCs/>
          <w:kern w:val="2"/>
          <w:sz w:val="44"/>
          <w:szCs w:val="44"/>
          <w:lang w:val="zh-TW" w:eastAsia="zh-TW"/>
        </w:rPr>
      </w:pPr>
      <w:r>
        <w:rPr>
          <w:rFonts w:hint="eastAsia" w:ascii="仿宋" w:hAnsi="仿宋" w:eastAsia="仿宋" w:cs="仿宋"/>
          <w:b/>
          <w:bCs/>
          <w:kern w:val="2"/>
          <w:sz w:val="44"/>
          <w:szCs w:val="44"/>
          <w:lang w:val="zh-TW" w:eastAsia="zh-TW"/>
        </w:rPr>
        <w:t>评价小组成员：</w:t>
      </w:r>
    </w:p>
    <w:tbl>
      <w:tblPr>
        <w:tblStyle w:val="5"/>
        <w:tblpPr w:leftFromText="180" w:rightFromText="180" w:vertAnchor="text" w:horzAnchor="margin" w:tblpY="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449"/>
        <w:gridCol w:w="1791"/>
        <w:gridCol w:w="162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pStyle w:val="9"/>
              <w:widowControl w:val="0"/>
              <w:spacing w:after="0" w:line="240" w:lineRule="auto"/>
              <w:jc w:val="center"/>
              <w:rPr>
                <w:rFonts w:hint="eastAsia" w:ascii="仿宋" w:hAnsi="仿宋" w:eastAsia="仿宋" w:cs="仿宋"/>
                <w:kern w:val="2"/>
                <w:sz w:val="30"/>
                <w:szCs w:val="30"/>
                <w:lang w:val="zh-TW"/>
              </w:rPr>
            </w:pPr>
            <w:r>
              <w:rPr>
                <w:rFonts w:hint="eastAsia" w:ascii="仿宋" w:hAnsi="仿宋" w:eastAsia="仿宋" w:cs="仿宋"/>
                <w:kern w:val="2"/>
                <w:sz w:val="30"/>
                <w:szCs w:val="30"/>
                <w:lang w:val="zh-TW"/>
              </w:rPr>
              <w:t>评价小组</w:t>
            </w:r>
          </w:p>
          <w:p>
            <w:pPr>
              <w:pStyle w:val="9"/>
              <w:widowControl w:val="0"/>
              <w:spacing w:after="0" w:line="240" w:lineRule="auto"/>
              <w:jc w:val="center"/>
              <w:rPr>
                <w:rFonts w:hint="eastAsia" w:ascii="仿宋" w:hAnsi="仿宋" w:eastAsia="仿宋" w:cs="仿宋"/>
                <w:kern w:val="2"/>
                <w:sz w:val="30"/>
                <w:szCs w:val="30"/>
                <w:lang w:val="zh-TW"/>
              </w:rPr>
            </w:pPr>
            <w:r>
              <w:rPr>
                <w:rFonts w:hint="eastAsia" w:ascii="仿宋" w:hAnsi="仿宋" w:eastAsia="仿宋" w:cs="仿宋"/>
                <w:kern w:val="2"/>
                <w:sz w:val="30"/>
                <w:szCs w:val="30"/>
                <w:lang w:val="zh-TW"/>
              </w:rPr>
              <w:t>机构职位</w:t>
            </w:r>
          </w:p>
        </w:tc>
        <w:tc>
          <w:tcPr>
            <w:tcW w:w="1449" w:type="dxa"/>
            <w:vAlign w:val="center"/>
          </w:tcPr>
          <w:p>
            <w:pPr>
              <w:pStyle w:val="9"/>
              <w:widowControl w:val="0"/>
              <w:spacing w:after="0" w:line="240" w:lineRule="auto"/>
              <w:jc w:val="center"/>
              <w:rPr>
                <w:rFonts w:hint="eastAsia" w:ascii="仿宋" w:hAnsi="仿宋" w:eastAsia="仿宋" w:cs="仿宋"/>
                <w:kern w:val="2"/>
                <w:sz w:val="30"/>
                <w:szCs w:val="30"/>
                <w:lang w:val="zh-TW"/>
              </w:rPr>
            </w:pPr>
            <w:r>
              <w:rPr>
                <w:rFonts w:hint="eastAsia" w:ascii="仿宋" w:hAnsi="仿宋" w:eastAsia="仿宋" w:cs="仿宋"/>
                <w:kern w:val="2"/>
                <w:sz w:val="30"/>
                <w:szCs w:val="30"/>
                <w:lang w:val="zh-TW"/>
              </w:rPr>
              <w:t>姓名</w:t>
            </w:r>
          </w:p>
        </w:tc>
        <w:tc>
          <w:tcPr>
            <w:tcW w:w="1791" w:type="dxa"/>
            <w:vAlign w:val="center"/>
          </w:tcPr>
          <w:p>
            <w:pPr>
              <w:pStyle w:val="9"/>
              <w:widowControl w:val="0"/>
              <w:spacing w:after="0" w:line="240" w:lineRule="auto"/>
              <w:jc w:val="center"/>
              <w:rPr>
                <w:rFonts w:hint="eastAsia" w:ascii="仿宋" w:hAnsi="仿宋" w:eastAsia="仿宋" w:cs="仿宋"/>
                <w:kern w:val="2"/>
                <w:sz w:val="30"/>
                <w:szCs w:val="30"/>
                <w:lang w:val="zh-TW"/>
              </w:rPr>
            </w:pPr>
            <w:r>
              <w:rPr>
                <w:rFonts w:hint="eastAsia" w:ascii="仿宋" w:hAnsi="仿宋" w:eastAsia="仿宋" w:cs="仿宋"/>
                <w:kern w:val="2"/>
                <w:sz w:val="30"/>
                <w:szCs w:val="30"/>
                <w:lang w:val="zh-TW"/>
              </w:rPr>
              <w:t>职务/职称</w:t>
            </w:r>
          </w:p>
        </w:tc>
        <w:tc>
          <w:tcPr>
            <w:tcW w:w="1621" w:type="dxa"/>
            <w:vAlign w:val="center"/>
          </w:tcPr>
          <w:p>
            <w:pPr>
              <w:pStyle w:val="9"/>
              <w:widowControl w:val="0"/>
              <w:spacing w:after="0" w:line="240" w:lineRule="auto"/>
              <w:jc w:val="center"/>
              <w:rPr>
                <w:rFonts w:hint="eastAsia" w:ascii="仿宋" w:hAnsi="仿宋" w:eastAsia="仿宋" w:cs="仿宋"/>
                <w:kern w:val="2"/>
                <w:sz w:val="30"/>
                <w:szCs w:val="30"/>
                <w:lang w:val="zh-TW"/>
              </w:rPr>
            </w:pPr>
            <w:r>
              <w:rPr>
                <w:rFonts w:hint="eastAsia" w:ascii="仿宋" w:hAnsi="仿宋" w:eastAsia="仿宋" w:cs="仿宋"/>
                <w:kern w:val="2"/>
                <w:sz w:val="30"/>
                <w:szCs w:val="30"/>
                <w:lang w:val="zh-TW"/>
              </w:rPr>
              <w:t>所属</w:t>
            </w:r>
          </w:p>
          <w:p>
            <w:pPr>
              <w:pStyle w:val="9"/>
              <w:widowControl w:val="0"/>
              <w:spacing w:after="0" w:line="240" w:lineRule="auto"/>
              <w:jc w:val="center"/>
              <w:rPr>
                <w:rFonts w:hint="eastAsia" w:ascii="仿宋" w:hAnsi="仿宋" w:eastAsia="仿宋" w:cs="仿宋"/>
                <w:kern w:val="2"/>
                <w:sz w:val="30"/>
                <w:szCs w:val="30"/>
                <w:lang w:val="zh-TW"/>
              </w:rPr>
            </w:pPr>
            <w:r>
              <w:rPr>
                <w:rFonts w:hint="eastAsia" w:ascii="仿宋" w:hAnsi="仿宋" w:eastAsia="仿宋" w:cs="仿宋"/>
                <w:kern w:val="2"/>
                <w:sz w:val="30"/>
                <w:szCs w:val="30"/>
                <w:lang w:val="zh-TW"/>
              </w:rPr>
              <w:t>单位/处室</w:t>
            </w:r>
          </w:p>
        </w:tc>
        <w:tc>
          <w:tcPr>
            <w:tcW w:w="1621" w:type="dxa"/>
            <w:vAlign w:val="center"/>
          </w:tcPr>
          <w:p>
            <w:pPr>
              <w:pStyle w:val="9"/>
              <w:widowControl w:val="0"/>
              <w:spacing w:after="0" w:line="240" w:lineRule="auto"/>
              <w:jc w:val="center"/>
              <w:rPr>
                <w:rFonts w:hint="eastAsia" w:ascii="仿宋" w:hAnsi="仿宋" w:eastAsia="仿宋" w:cs="仿宋"/>
                <w:kern w:val="2"/>
                <w:sz w:val="30"/>
                <w:szCs w:val="30"/>
                <w:lang w:val="zh-TW"/>
              </w:rPr>
            </w:pPr>
            <w:r>
              <w:rPr>
                <w:rFonts w:hint="eastAsia" w:ascii="仿宋" w:hAnsi="仿宋" w:eastAsia="仿宋" w:cs="仿宋"/>
                <w:kern w:val="2"/>
                <w:sz w:val="30"/>
                <w:szCs w:val="30"/>
                <w:lang w:val="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620" w:type="dxa"/>
            <w:vAlign w:val="center"/>
          </w:tcPr>
          <w:p>
            <w:pPr>
              <w:pStyle w:val="9"/>
              <w:widowControl w:val="0"/>
              <w:spacing w:after="0" w:line="240" w:lineRule="auto"/>
              <w:jc w:val="center"/>
              <w:rPr>
                <w:rFonts w:hint="eastAsia" w:ascii="仿宋" w:hAnsi="仿宋" w:eastAsia="仿宋" w:cs="仿宋"/>
                <w:kern w:val="2"/>
                <w:sz w:val="30"/>
                <w:szCs w:val="30"/>
                <w:lang w:val="zh-TW"/>
              </w:rPr>
            </w:pPr>
            <w:r>
              <w:rPr>
                <w:rFonts w:hint="eastAsia" w:ascii="仿宋" w:hAnsi="仿宋" w:eastAsia="仿宋" w:cs="仿宋"/>
                <w:kern w:val="2"/>
                <w:sz w:val="30"/>
                <w:szCs w:val="30"/>
                <w:lang w:val="zh-TW"/>
              </w:rPr>
              <w:t>组长</w:t>
            </w:r>
          </w:p>
        </w:tc>
        <w:tc>
          <w:tcPr>
            <w:tcW w:w="1449" w:type="dxa"/>
            <w:vAlign w:val="center"/>
          </w:tcPr>
          <w:p>
            <w:pPr>
              <w:pStyle w:val="9"/>
              <w:widowControl w:val="0"/>
              <w:spacing w:after="0" w:line="240" w:lineRule="auto"/>
              <w:jc w:val="center"/>
              <w:rPr>
                <w:rFonts w:hint="eastAsia" w:ascii="仿宋" w:hAnsi="仿宋" w:eastAsia="仿宋" w:cs="仿宋"/>
                <w:kern w:val="2"/>
                <w:sz w:val="30"/>
                <w:szCs w:val="30"/>
                <w:lang w:val="zh-TW"/>
              </w:rPr>
            </w:pPr>
            <w:r>
              <w:rPr>
                <w:rFonts w:hint="eastAsia" w:ascii="仿宋" w:hAnsi="仿宋" w:eastAsia="仿宋" w:cs="仿宋"/>
                <w:kern w:val="2"/>
                <w:sz w:val="30"/>
                <w:szCs w:val="30"/>
                <w:lang w:val="zh-TW"/>
              </w:rPr>
              <w:t>洪耀辉</w:t>
            </w:r>
          </w:p>
        </w:tc>
        <w:tc>
          <w:tcPr>
            <w:tcW w:w="1791" w:type="dxa"/>
            <w:vAlign w:val="center"/>
          </w:tcPr>
          <w:p>
            <w:pPr>
              <w:pStyle w:val="9"/>
              <w:widowControl w:val="0"/>
              <w:spacing w:after="0" w:line="240" w:lineRule="auto"/>
              <w:jc w:val="center"/>
              <w:rPr>
                <w:rFonts w:hint="eastAsia" w:ascii="仿宋" w:hAnsi="仿宋" w:eastAsia="仿宋" w:cs="仿宋"/>
                <w:kern w:val="2"/>
                <w:sz w:val="30"/>
                <w:szCs w:val="30"/>
                <w:lang w:val="zh-TW"/>
              </w:rPr>
            </w:pPr>
            <w:r>
              <w:rPr>
                <w:rFonts w:hint="eastAsia" w:ascii="仿宋" w:hAnsi="仿宋" w:eastAsia="仿宋" w:cs="仿宋"/>
                <w:kern w:val="2"/>
                <w:sz w:val="30"/>
                <w:szCs w:val="30"/>
                <w:lang w:val="zh-TW"/>
              </w:rPr>
              <w:t>馆长</w:t>
            </w:r>
          </w:p>
        </w:tc>
        <w:tc>
          <w:tcPr>
            <w:tcW w:w="1621" w:type="dxa"/>
            <w:vAlign w:val="center"/>
          </w:tcPr>
          <w:p>
            <w:pPr>
              <w:pStyle w:val="9"/>
              <w:widowControl w:val="0"/>
              <w:spacing w:after="0" w:line="240" w:lineRule="auto"/>
              <w:jc w:val="center"/>
              <w:rPr>
                <w:rFonts w:hint="eastAsia" w:ascii="仿宋" w:hAnsi="仿宋" w:eastAsia="仿宋" w:cs="仿宋"/>
                <w:kern w:val="2"/>
                <w:sz w:val="30"/>
                <w:szCs w:val="30"/>
                <w:lang w:val="zh-TW" w:eastAsia="zh-TW"/>
              </w:rPr>
            </w:pPr>
          </w:p>
        </w:tc>
        <w:tc>
          <w:tcPr>
            <w:tcW w:w="1621" w:type="dxa"/>
            <w:vAlign w:val="center"/>
          </w:tcPr>
          <w:p>
            <w:pPr>
              <w:pStyle w:val="9"/>
              <w:widowControl w:val="0"/>
              <w:spacing w:after="0" w:line="240" w:lineRule="auto"/>
              <w:jc w:val="center"/>
              <w:rPr>
                <w:rFonts w:hint="eastAsia" w:ascii="仿宋" w:hAnsi="仿宋" w:eastAsia="仿宋" w:cs="仿宋"/>
                <w:kern w:val="2"/>
                <w:sz w:val="30"/>
                <w:szCs w:val="30"/>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620" w:type="dxa"/>
            <w:vAlign w:val="center"/>
          </w:tcPr>
          <w:p>
            <w:pPr>
              <w:pStyle w:val="9"/>
              <w:widowControl w:val="0"/>
              <w:spacing w:after="0" w:line="240" w:lineRule="auto"/>
              <w:jc w:val="center"/>
              <w:rPr>
                <w:rFonts w:hint="eastAsia" w:ascii="仿宋" w:hAnsi="仿宋" w:eastAsia="仿宋" w:cs="仿宋"/>
                <w:kern w:val="2"/>
                <w:sz w:val="30"/>
                <w:szCs w:val="30"/>
                <w:lang w:val="zh-TW"/>
              </w:rPr>
            </w:pPr>
            <w:r>
              <w:rPr>
                <w:rFonts w:hint="eastAsia" w:ascii="仿宋" w:hAnsi="仿宋" w:eastAsia="仿宋" w:cs="仿宋"/>
                <w:kern w:val="2"/>
                <w:sz w:val="30"/>
                <w:szCs w:val="30"/>
                <w:lang w:val="zh-TW"/>
              </w:rPr>
              <w:t>副组长</w:t>
            </w:r>
          </w:p>
        </w:tc>
        <w:tc>
          <w:tcPr>
            <w:tcW w:w="1449" w:type="dxa"/>
            <w:vAlign w:val="center"/>
          </w:tcPr>
          <w:p>
            <w:pPr>
              <w:pStyle w:val="9"/>
              <w:widowControl w:val="0"/>
              <w:spacing w:after="0" w:line="240" w:lineRule="auto"/>
              <w:jc w:val="center"/>
              <w:rPr>
                <w:rFonts w:hint="eastAsia" w:ascii="仿宋" w:hAnsi="仿宋" w:eastAsia="仿宋" w:cs="仿宋"/>
                <w:kern w:val="2"/>
                <w:sz w:val="30"/>
                <w:szCs w:val="30"/>
                <w:lang w:val="zh-TW"/>
              </w:rPr>
            </w:pPr>
            <w:r>
              <w:rPr>
                <w:rFonts w:hint="eastAsia" w:ascii="仿宋" w:hAnsi="仿宋" w:eastAsia="仿宋" w:cs="仿宋"/>
                <w:kern w:val="2"/>
                <w:sz w:val="30"/>
                <w:szCs w:val="30"/>
                <w:lang w:val="zh-TW"/>
              </w:rPr>
              <w:t>杨丽英</w:t>
            </w:r>
          </w:p>
        </w:tc>
        <w:tc>
          <w:tcPr>
            <w:tcW w:w="1791" w:type="dxa"/>
            <w:vAlign w:val="center"/>
          </w:tcPr>
          <w:p>
            <w:pPr>
              <w:pStyle w:val="9"/>
              <w:widowControl w:val="0"/>
              <w:spacing w:after="0" w:line="240" w:lineRule="auto"/>
              <w:jc w:val="center"/>
              <w:rPr>
                <w:rFonts w:hint="eastAsia" w:ascii="仿宋" w:hAnsi="仿宋" w:eastAsia="仿宋" w:cs="仿宋"/>
                <w:kern w:val="2"/>
                <w:sz w:val="30"/>
                <w:szCs w:val="30"/>
                <w:lang w:val="zh-TW"/>
              </w:rPr>
            </w:pPr>
            <w:r>
              <w:rPr>
                <w:rFonts w:hint="eastAsia" w:ascii="仿宋" w:hAnsi="仿宋" w:eastAsia="仿宋" w:cs="仿宋"/>
                <w:kern w:val="2"/>
                <w:sz w:val="30"/>
                <w:szCs w:val="30"/>
                <w:lang w:val="zh-TW"/>
              </w:rPr>
              <w:t>副馆长</w:t>
            </w:r>
          </w:p>
        </w:tc>
        <w:tc>
          <w:tcPr>
            <w:tcW w:w="1621" w:type="dxa"/>
            <w:vAlign w:val="center"/>
          </w:tcPr>
          <w:p>
            <w:pPr>
              <w:pStyle w:val="9"/>
              <w:widowControl w:val="0"/>
              <w:spacing w:after="0" w:line="240" w:lineRule="auto"/>
              <w:jc w:val="center"/>
              <w:rPr>
                <w:rFonts w:hint="eastAsia" w:ascii="仿宋" w:hAnsi="仿宋" w:eastAsia="仿宋" w:cs="仿宋"/>
                <w:kern w:val="2"/>
                <w:sz w:val="30"/>
                <w:szCs w:val="30"/>
                <w:lang w:val="zh-TW" w:eastAsia="zh-TW"/>
              </w:rPr>
            </w:pPr>
          </w:p>
        </w:tc>
        <w:tc>
          <w:tcPr>
            <w:tcW w:w="1621" w:type="dxa"/>
            <w:vAlign w:val="center"/>
          </w:tcPr>
          <w:p>
            <w:pPr>
              <w:pStyle w:val="9"/>
              <w:widowControl w:val="0"/>
              <w:spacing w:after="0" w:line="240" w:lineRule="auto"/>
              <w:jc w:val="center"/>
              <w:rPr>
                <w:rFonts w:hint="eastAsia" w:ascii="仿宋" w:hAnsi="仿宋" w:eastAsia="仿宋" w:cs="仿宋"/>
                <w:kern w:val="2"/>
                <w:sz w:val="30"/>
                <w:szCs w:val="30"/>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620" w:type="dxa"/>
            <w:vAlign w:val="center"/>
          </w:tcPr>
          <w:p>
            <w:pPr>
              <w:pStyle w:val="9"/>
              <w:widowControl w:val="0"/>
              <w:spacing w:after="0" w:line="240" w:lineRule="auto"/>
              <w:jc w:val="center"/>
              <w:rPr>
                <w:rFonts w:hint="eastAsia" w:ascii="仿宋" w:hAnsi="仿宋" w:eastAsia="仿宋" w:cs="仿宋"/>
                <w:kern w:val="2"/>
                <w:sz w:val="30"/>
                <w:szCs w:val="30"/>
                <w:lang w:val="zh-TW"/>
              </w:rPr>
            </w:pPr>
            <w:r>
              <w:rPr>
                <w:rFonts w:hint="eastAsia" w:ascii="仿宋" w:hAnsi="仿宋" w:eastAsia="仿宋" w:cs="仿宋"/>
                <w:kern w:val="2"/>
                <w:sz w:val="30"/>
                <w:szCs w:val="30"/>
                <w:lang w:val="zh-TW"/>
              </w:rPr>
              <w:t>成员</w:t>
            </w:r>
          </w:p>
        </w:tc>
        <w:tc>
          <w:tcPr>
            <w:tcW w:w="1449" w:type="dxa"/>
            <w:vAlign w:val="center"/>
          </w:tcPr>
          <w:p>
            <w:pPr>
              <w:pStyle w:val="9"/>
              <w:widowControl w:val="0"/>
              <w:spacing w:after="0" w:line="240" w:lineRule="auto"/>
              <w:jc w:val="center"/>
              <w:rPr>
                <w:rFonts w:hint="eastAsia" w:ascii="仿宋" w:hAnsi="仿宋" w:eastAsia="仿宋" w:cs="仿宋"/>
                <w:kern w:val="2"/>
                <w:sz w:val="30"/>
                <w:szCs w:val="30"/>
                <w:lang w:val="zh-TW"/>
              </w:rPr>
            </w:pPr>
            <w:r>
              <w:rPr>
                <w:rFonts w:hint="eastAsia" w:ascii="仿宋" w:hAnsi="仿宋" w:eastAsia="仿宋" w:cs="仿宋"/>
                <w:kern w:val="2"/>
                <w:sz w:val="30"/>
                <w:szCs w:val="30"/>
                <w:lang w:val="zh-TW"/>
              </w:rPr>
              <w:t>喻梅</w:t>
            </w:r>
          </w:p>
        </w:tc>
        <w:tc>
          <w:tcPr>
            <w:tcW w:w="1791" w:type="dxa"/>
            <w:vAlign w:val="center"/>
          </w:tcPr>
          <w:p>
            <w:pPr>
              <w:pStyle w:val="9"/>
              <w:widowControl w:val="0"/>
              <w:spacing w:after="0" w:line="240" w:lineRule="auto"/>
              <w:jc w:val="center"/>
              <w:rPr>
                <w:rFonts w:hint="eastAsia" w:ascii="仿宋" w:hAnsi="仿宋" w:eastAsia="仿宋" w:cs="仿宋"/>
                <w:kern w:val="2"/>
                <w:sz w:val="30"/>
                <w:szCs w:val="30"/>
                <w:lang w:val="zh-TW"/>
              </w:rPr>
            </w:pPr>
            <w:r>
              <w:rPr>
                <w:rFonts w:hint="eastAsia" w:ascii="仿宋" w:hAnsi="仿宋" w:eastAsia="仿宋" w:cs="仿宋"/>
                <w:kern w:val="2"/>
                <w:sz w:val="30"/>
                <w:szCs w:val="30"/>
                <w:lang w:val="zh-TW"/>
              </w:rPr>
              <w:t>财务部主任</w:t>
            </w:r>
          </w:p>
        </w:tc>
        <w:tc>
          <w:tcPr>
            <w:tcW w:w="1621" w:type="dxa"/>
            <w:vAlign w:val="center"/>
          </w:tcPr>
          <w:p>
            <w:pPr>
              <w:pStyle w:val="9"/>
              <w:widowControl w:val="0"/>
              <w:spacing w:after="0" w:line="240" w:lineRule="auto"/>
              <w:jc w:val="center"/>
              <w:rPr>
                <w:rFonts w:hint="eastAsia" w:ascii="仿宋" w:hAnsi="仿宋" w:eastAsia="仿宋" w:cs="仿宋"/>
                <w:kern w:val="2"/>
                <w:sz w:val="30"/>
                <w:szCs w:val="30"/>
                <w:lang w:val="zh-TW"/>
              </w:rPr>
            </w:pPr>
            <w:r>
              <w:rPr>
                <w:rFonts w:hint="eastAsia" w:ascii="仿宋" w:hAnsi="仿宋" w:eastAsia="仿宋" w:cs="仿宋"/>
                <w:kern w:val="2"/>
                <w:sz w:val="30"/>
                <w:szCs w:val="30"/>
                <w:lang w:val="zh-TW"/>
              </w:rPr>
              <w:t>财务部</w:t>
            </w:r>
          </w:p>
        </w:tc>
        <w:tc>
          <w:tcPr>
            <w:tcW w:w="1621" w:type="dxa"/>
            <w:vAlign w:val="center"/>
          </w:tcPr>
          <w:p>
            <w:pPr>
              <w:pStyle w:val="9"/>
              <w:widowControl w:val="0"/>
              <w:spacing w:after="0" w:line="240" w:lineRule="auto"/>
              <w:jc w:val="center"/>
              <w:rPr>
                <w:rFonts w:hint="eastAsia" w:ascii="仿宋" w:hAnsi="仿宋" w:eastAsia="仿宋" w:cs="仿宋"/>
                <w:kern w:val="2"/>
                <w:sz w:val="30"/>
                <w:szCs w:val="30"/>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620" w:type="dxa"/>
            <w:vAlign w:val="center"/>
          </w:tcPr>
          <w:p>
            <w:pPr>
              <w:pStyle w:val="9"/>
              <w:widowControl w:val="0"/>
              <w:spacing w:after="0" w:line="240" w:lineRule="auto"/>
              <w:jc w:val="center"/>
              <w:rPr>
                <w:rFonts w:hint="eastAsia" w:ascii="仿宋" w:hAnsi="仿宋" w:eastAsia="仿宋" w:cs="仿宋"/>
                <w:kern w:val="2"/>
                <w:sz w:val="30"/>
                <w:szCs w:val="30"/>
                <w:lang w:val="zh-TW"/>
              </w:rPr>
            </w:pPr>
            <w:r>
              <w:rPr>
                <w:rFonts w:hint="eastAsia" w:ascii="仿宋" w:hAnsi="仿宋" w:eastAsia="仿宋" w:cs="仿宋"/>
                <w:kern w:val="2"/>
                <w:sz w:val="30"/>
                <w:szCs w:val="30"/>
                <w:lang w:val="zh-TW"/>
              </w:rPr>
              <w:t>成员</w:t>
            </w:r>
          </w:p>
        </w:tc>
        <w:tc>
          <w:tcPr>
            <w:tcW w:w="1449" w:type="dxa"/>
            <w:vAlign w:val="center"/>
          </w:tcPr>
          <w:p>
            <w:pPr>
              <w:pStyle w:val="9"/>
              <w:widowControl w:val="0"/>
              <w:spacing w:after="0" w:line="240" w:lineRule="auto"/>
              <w:jc w:val="center"/>
              <w:rPr>
                <w:rFonts w:hint="eastAsia" w:ascii="仿宋" w:hAnsi="仿宋" w:eastAsia="仿宋" w:cs="仿宋"/>
                <w:kern w:val="2"/>
                <w:sz w:val="30"/>
                <w:szCs w:val="30"/>
                <w:lang w:val="zh-TW"/>
              </w:rPr>
            </w:pPr>
            <w:r>
              <w:rPr>
                <w:rFonts w:hint="eastAsia" w:ascii="仿宋" w:hAnsi="仿宋" w:eastAsia="仿宋" w:cs="仿宋"/>
                <w:kern w:val="2"/>
                <w:sz w:val="30"/>
                <w:szCs w:val="30"/>
                <w:lang w:val="zh-TW"/>
              </w:rPr>
              <w:t>雀寿鹤</w:t>
            </w:r>
          </w:p>
        </w:tc>
        <w:tc>
          <w:tcPr>
            <w:tcW w:w="1791" w:type="dxa"/>
            <w:vAlign w:val="center"/>
          </w:tcPr>
          <w:p>
            <w:pPr>
              <w:pStyle w:val="9"/>
              <w:widowControl w:val="0"/>
              <w:spacing w:after="0" w:line="240" w:lineRule="auto"/>
              <w:jc w:val="center"/>
              <w:rPr>
                <w:rFonts w:hint="eastAsia" w:ascii="仿宋" w:hAnsi="仿宋" w:eastAsia="仿宋" w:cs="仿宋"/>
                <w:kern w:val="2"/>
                <w:sz w:val="30"/>
                <w:szCs w:val="30"/>
                <w:lang w:val="zh-TW"/>
              </w:rPr>
            </w:pPr>
            <w:r>
              <w:rPr>
                <w:rFonts w:hint="eastAsia" w:ascii="仿宋" w:hAnsi="仿宋" w:eastAsia="仿宋" w:cs="仿宋"/>
                <w:kern w:val="2"/>
                <w:sz w:val="30"/>
                <w:szCs w:val="30"/>
                <w:lang w:val="zh-TW"/>
              </w:rPr>
              <w:t>办公室主任</w:t>
            </w:r>
          </w:p>
        </w:tc>
        <w:tc>
          <w:tcPr>
            <w:tcW w:w="1621" w:type="dxa"/>
            <w:vAlign w:val="center"/>
          </w:tcPr>
          <w:p>
            <w:pPr>
              <w:pStyle w:val="9"/>
              <w:widowControl w:val="0"/>
              <w:spacing w:after="0" w:line="240" w:lineRule="auto"/>
              <w:jc w:val="center"/>
              <w:rPr>
                <w:rFonts w:hint="eastAsia" w:ascii="仿宋" w:hAnsi="仿宋" w:eastAsia="仿宋" w:cs="仿宋"/>
                <w:kern w:val="2"/>
                <w:sz w:val="30"/>
                <w:szCs w:val="30"/>
                <w:lang w:val="zh-TW"/>
              </w:rPr>
            </w:pPr>
            <w:r>
              <w:rPr>
                <w:rFonts w:hint="eastAsia" w:ascii="仿宋" w:hAnsi="仿宋" w:eastAsia="仿宋" w:cs="仿宋"/>
                <w:kern w:val="2"/>
                <w:sz w:val="30"/>
                <w:szCs w:val="30"/>
                <w:lang w:val="zh-TW"/>
              </w:rPr>
              <w:t>办公室</w:t>
            </w:r>
          </w:p>
        </w:tc>
        <w:tc>
          <w:tcPr>
            <w:tcW w:w="1621" w:type="dxa"/>
            <w:vAlign w:val="center"/>
          </w:tcPr>
          <w:p>
            <w:pPr>
              <w:pStyle w:val="9"/>
              <w:widowControl w:val="0"/>
              <w:spacing w:after="0" w:line="240" w:lineRule="auto"/>
              <w:jc w:val="center"/>
              <w:rPr>
                <w:rFonts w:hint="eastAsia" w:ascii="仿宋" w:hAnsi="仿宋" w:eastAsia="仿宋" w:cs="仿宋"/>
                <w:kern w:val="2"/>
                <w:sz w:val="30"/>
                <w:szCs w:val="30"/>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8102" w:type="dxa"/>
            <w:gridSpan w:val="5"/>
          </w:tcPr>
          <w:p>
            <w:pPr>
              <w:pStyle w:val="9"/>
              <w:widowControl w:val="0"/>
              <w:spacing w:after="0" w:line="240" w:lineRule="auto"/>
              <w:jc w:val="both"/>
              <w:rPr>
                <w:rFonts w:hint="eastAsia" w:ascii="仿宋" w:hAnsi="仿宋" w:eastAsia="仿宋" w:cs="仿宋"/>
                <w:kern w:val="2"/>
                <w:sz w:val="30"/>
                <w:szCs w:val="30"/>
                <w:lang w:val="zh-TW"/>
              </w:rPr>
            </w:pPr>
            <w:r>
              <w:rPr>
                <w:rFonts w:hint="eastAsia" w:ascii="仿宋" w:hAnsi="仿宋" w:eastAsia="仿宋" w:cs="仿宋"/>
                <w:kern w:val="2"/>
                <w:sz w:val="30"/>
                <w:szCs w:val="30"/>
                <w:lang w:val="zh-TW"/>
              </w:rPr>
              <w:t>报告撰写人（签字）：</w:t>
            </w:r>
          </w:p>
          <w:p>
            <w:pPr>
              <w:pStyle w:val="9"/>
              <w:widowControl w:val="0"/>
              <w:spacing w:after="0" w:line="240" w:lineRule="auto"/>
              <w:jc w:val="center"/>
              <w:rPr>
                <w:rFonts w:hint="eastAsia" w:ascii="仿宋" w:hAnsi="仿宋" w:eastAsia="仿宋" w:cs="仿宋"/>
                <w:kern w:val="2"/>
                <w:sz w:val="44"/>
                <w:szCs w:val="44"/>
                <w:lang w:val="zh-TW"/>
              </w:rPr>
            </w:pPr>
            <w:r>
              <w:rPr>
                <w:rFonts w:hint="eastAsia" w:ascii="仿宋" w:hAnsi="仿宋" w:eastAsia="仿宋" w:cs="仿宋"/>
                <w:kern w:val="2"/>
                <w:sz w:val="44"/>
                <w:szCs w:val="44"/>
                <w:lang w:val="zh-TW"/>
              </w:rPr>
              <w:t>喻梅</w:t>
            </w:r>
          </w:p>
          <w:p>
            <w:pPr>
              <w:pStyle w:val="9"/>
              <w:widowControl w:val="0"/>
              <w:spacing w:after="0" w:line="240" w:lineRule="auto"/>
              <w:jc w:val="both"/>
              <w:rPr>
                <w:rFonts w:hint="eastAsia" w:ascii="仿宋" w:hAnsi="仿宋" w:eastAsia="仿宋" w:cs="仿宋"/>
                <w:kern w:val="2"/>
                <w:sz w:val="30"/>
                <w:szCs w:val="30"/>
                <w:lang w:val="zh-TW"/>
              </w:rPr>
            </w:pPr>
          </w:p>
          <w:p>
            <w:pPr>
              <w:pStyle w:val="9"/>
              <w:widowControl w:val="0"/>
              <w:wordWrap w:val="0"/>
              <w:spacing w:after="0" w:line="240" w:lineRule="auto"/>
              <w:jc w:val="right"/>
              <w:rPr>
                <w:rFonts w:hint="eastAsia" w:ascii="仿宋" w:hAnsi="仿宋" w:eastAsia="仿宋" w:cs="仿宋"/>
                <w:kern w:val="2"/>
                <w:sz w:val="30"/>
                <w:szCs w:val="30"/>
                <w:lang w:val="zh-TW"/>
              </w:rPr>
            </w:pPr>
            <w:r>
              <w:rPr>
                <w:rFonts w:hint="eastAsia" w:ascii="仿宋" w:hAnsi="仿宋" w:eastAsia="仿宋" w:cs="仿宋"/>
                <w:kern w:val="2"/>
                <w:sz w:val="30"/>
                <w:szCs w:val="30"/>
              </w:rPr>
              <w:t>2020</w:t>
            </w:r>
            <w:r>
              <w:rPr>
                <w:rFonts w:hint="eastAsia" w:ascii="仿宋" w:hAnsi="仿宋" w:eastAsia="仿宋" w:cs="仿宋"/>
                <w:kern w:val="2"/>
                <w:sz w:val="30"/>
                <w:szCs w:val="30"/>
                <w:lang w:val="zh-TW"/>
              </w:rPr>
              <w:t>年</w:t>
            </w:r>
            <w:r>
              <w:rPr>
                <w:rFonts w:hint="eastAsia" w:ascii="仿宋" w:hAnsi="仿宋" w:eastAsia="仿宋" w:cs="仿宋"/>
                <w:kern w:val="2"/>
                <w:sz w:val="30"/>
                <w:szCs w:val="30"/>
              </w:rPr>
              <w:t>5</w:t>
            </w:r>
            <w:r>
              <w:rPr>
                <w:rFonts w:hint="eastAsia" w:ascii="仿宋" w:hAnsi="仿宋" w:eastAsia="仿宋" w:cs="仿宋"/>
                <w:kern w:val="2"/>
                <w:sz w:val="30"/>
                <w:szCs w:val="30"/>
                <w:lang w:val="zh-TW"/>
              </w:rPr>
              <w:t>月</w:t>
            </w:r>
            <w:r>
              <w:rPr>
                <w:rFonts w:hint="eastAsia" w:ascii="仿宋" w:hAnsi="仿宋" w:eastAsia="仿宋" w:cs="仿宋"/>
                <w:kern w:val="2"/>
                <w:sz w:val="30"/>
                <w:szCs w:val="30"/>
                <w:lang w:val="en-US" w:eastAsia="zh-CN"/>
              </w:rPr>
              <w:t>25</w:t>
            </w:r>
            <w:r>
              <w:rPr>
                <w:rFonts w:hint="eastAsia" w:ascii="仿宋" w:hAnsi="仿宋" w:eastAsia="仿宋" w:cs="仿宋"/>
                <w:kern w:val="2"/>
                <w:sz w:val="30"/>
                <w:szCs w:val="30"/>
                <w:lang w:val="zh-TW"/>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8102" w:type="dxa"/>
            <w:gridSpan w:val="5"/>
          </w:tcPr>
          <w:p>
            <w:pPr>
              <w:pStyle w:val="9"/>
              <w:widowControl w:val="0"/>
              <w:spacing w:after="0" w:line="240" w:lineRule="auto"/>
              <w:jc w:val="both"/>
              <w:rPr>
                <w:rFonts w:hint="eastAsia" w:ascii="仿宋" w:hAnsi="仿宋" w:eastAsia="仿宋" w:cs="仿宋"/>
                <w:kern w:val="2"/>
                <w:sz w:val="30"/>
                <w:szCs w:val="30"/>
                <w:lang w:val="zh-TW"/>
              </w:rPr>
            </w:pPr>
            <w:r>
              <w:rPr>
                <w:rFonts w:hint="eastAsia" w:ascii="仿宋" w:hAnsi="仿宋" w:eastAsia="仿宋" w:cs="仿宋"/>
                <w:kern w:val="2"/>
                <w:sz w:val="30"/>
                <w:szCs w:val="30"/>
                <w:lang w:val="zh-TW"/>
              </w:rPr>
              <w:t>评价工作负责人（签字）：</w:t>
            </w:r>
          </w:p>
          <w:p>
            <w:pPr>
              <w:pStyle w:val="9"/>
              <w:widowControl w:val="0"/>
              <w:spacing w:after="0" w:line="240" w:lineRule="auto"/>
              <w:jc w:val="center"/>
              <w:rPr>
                <w:rFonts w:hint="eastAsia" w:ascii="仿宋" w:hAnsi="仿宋" w:eastAsia="仿宋" w:cs="仿宋"/>
                <w:kern w:val="2"/>
                <w:sz w:val="44"/>
                <w:szCs w:val="44"/>
                <w:lang w:val="zh-TW"/>
              </w:rPr>
            </w:pPr>
            <w:r>
              <w:rPr>
                <w:rFonts w:hint="eastAsia" w:ascii="仿宋" w:hAnsi="仿宋" w:eastAsia="仿宋" w:cs="仿宋"/>
                <w:kern w:val="2"/>
                <w:sz w:val="44"/>
                <w:szCs w:val="44"/>
                <w:lang w:val="zh-TW"/>
              </w:rPr>
              <w:t>洪耀辉</w:t>
            </w:r>
          </w:p>
          <w:p>
            <w:pPr>
              <w:pStyle w:val="9"/>
              <w:widowControl w:val="0"/>
              <w:spacing w:after="0" w:line="240" w:lineRule="auto"/>
              <w:jc w:val="both"/>
              <w:rPr>
                <w:rFonts w:hint="eastAsia" w:ascii="仿宋" w:hAnsi="仿宋" w:eastAsia="仿宋" w:cs="仿宋"/>
                <w:kern w:val="2"/>
                <w:sz w:val="30"/>
                <w:szCs w:val="30"/>
                <w:lang w:val="zh-TW"/>
              </w:rPr>
            </w:pPr>
          </w:p>
          <w:p>
            <w:pPr>
              <w:pStyle w:val="9"/>
              <w:widowControl w:val="0"/>
              <w:wordWrap w:val="0"/>
              <w:spacing w:after="0" w:line="240" w:lineRule="auto"/>
              <w:jc w:val="right"/>
              <w:rPr>
                <w:rFonts w:hint="eastAsia" w:ascii="仿宋" w:hAnsi="仿宋" w:eastAsia="仿宋" w:cs="仿宋"/>
                <w:kern w:val="2"/>
                <w:sz w:val="30"/>
                <w:szCs w:val="30"/>
                <w:lang w:val="zh-TW"/>
              </w:rPr>
            </w:pPr>
            <w:r>
              <w:rPr>
                <w:rFonts w:hint="eastAsia" w:ascii="仿宋" w:hAnsi="仿宋" w:eastAsia="仿宋" w:cs="仿宋"/>
                <w:kern w:val="2"/>
                <w:sz w:val="30"/>
                <w:szCs w:val="30"/>
              </w:rPr>
              <w:t>2020</w:t>
            </w:r>
            <w:r>
              <w:rPr>
                <w:rFonts w:hint="eastAsia" w:ascii="仿宋" w:hAnsi="仿宋" w:eastAsia="仿宋" w:cs="仿宋"/>
                <w:kern w:val="2"/>
                <w:sz w:val="30"/>
                <w:szCs w:val="30"/>
                <w:lang w:val="zh-TW"/>
              </w:rPr>
              <w:t>年</w:t>
            </w:r>
            <w:r>
              <w:rPr>
                <w:rFonts w:hint="eastAsia" w:ascii="仿宋" w:hAnsi="仿宋" w:eastAsia="仿宋" w:cs="仿宋"/>
                <w:kern w:val="2"/>
                <w:sz w:val="30"/>
                <w:szCs w:val="30"/>
              </w:rPr>
              <w:t>5</w:t>
            </w:r>
            <w:r>
              <w:rPr>
                <w:rFonts w:hint="eastAsia" w:ascii="仿宋" w:hAnsi="仿宋" w:eastAsia="仿宋" w:cs="仿宋"/>
                <w:kern w:val="2"/>
                <w:sz w:val="30"/>
                <w:szCs w:val="30"/>
                <w:lang w:val="zh-TW"/>
              </w:rPr>
              <w:t>月</w:t>
            </w:r>
            <w:r>
              <w:rPr>
                <w:rFonts w:hint="eastAsia" w:ascii="仿宋" w:hAnsi="仿宋" w:eastAsia="仿宋" w:cs="仿宋"/>
                <w:kern w:val="2"/>
                <w:sz w:val="30"/>
                <w:szCs w:val="30"/>
                <w:lang w:val="en-US" w:eastAsia="zh-CN"/>
              </w:rPr>
              <w:t>25</w:t>
            </w:r>
            <w:r>
              <w:rPr>
                <w:rFonts w:hint="eastAsia" w:ascii="仿宋" w:hAnsi="仿宋" w:eastAsia="仿宋" w:cs="仿宋"/>
                <w:kern w:val="2"/>
                <w:sz w:val="30"/>
                <w:szCs w:val="30"/>
                <w:lang w:val="zh-TW"/>
              </w:rPr>
              <w:t xml:space="preserve">  日</w:t>
            </w:r>
          </w:p>
        </w:tc>
      </w:tr>
    </w:tbl>
    <w:p>
      <w:pPr>
        <w:pStyle w:val="9"/>
        <w:widowControl w:val="0"/>
        <w:spacing w:after="0" w:line="240" w:lineRule="auto"/>
        <w:ind w:firstLine="708" w:firstLineChars="236"/>
        <w:jc w:val="both"/>
        <w:rPr>
          <w:rFonts w:hint="eastAsia" w:ascii="仿宋" w:hAnsi="仿宋" w:eastAsia="仿宋" w:cs="仿宋"/>
          <w:kern w:val="2"/>
          <w:sz w:val="30"/>
          <w:szCs w:val="30"/>
          <w:lang w:val="zh-TW" w:eastAsia="zh-TW"/>
        </w:rPr>
      </w:pPr>
    </w:p>
    <w:p>
      <w:pPr>
        <w:pStyle w:val="9"/>
        <w:widowControl w:val="0"/>
        <w:spacing w:after="0" w:line="240" w:lineRule="auto"/>
        <w:jc w:val="both"/>
        <w:rPr>
          <w:rFonts w:hint="eastAsia" w:ascii="仿宋" w:hAnsi="仿宋" w:eastAsia="仿宋" w:cs="仿宋"/>
          <w:kern w:val="2"/>
          <w:sz w:val="30"/>
          <w:szCs w:val="30"/>
          <w:lang w:val="zh-TW"/>
        </w:rPr>
        <w:sectPr>
          <w:pgSz w:w="11906" w:h="16838"/>
          <w:pgMar w:top="1440" w:right="1800" w:bottom="1440" w:left="1800" w:header="851" w:footer="992" w:gutter="0"/>
          <w:cols w:space="425" w:num="1"/>
          <w:docGrid w:type="lines" w:linePitch="312" w:charSpace="0"/>
        </w:sectPr>
      </w:pPr>
    </w:p>
    <w:p>
      <w:pPr>
        <w:pStyle w:val="8"/>
        <w:spacing w:before="0" w:line="240" w:lineRule="auto"/>
        <w:jc w:val="center"/>
        <w:rPr>
          <w:rFonts w:hint="eastAsia" w:ascii="仿宋" w:hAnsi="仿宋" w:eastAsia="仿宋" w:cs="仿宋"/>
          <w:bCs w:val="0"/>
          <w:color w:val="auto"/>
          <w:sz w:val="44"/>
          <w:szCs w:val="44"/>
        </w:rPr>
      </w:pPr>
      <w:r>
        <w:rPr>
          <w:rFonts w:hint="eastAsia" w:ascii="仿宋" w:hAnsi="仿宋" w:eastAsia="仿宋" w:cs="仿宋"/>
          <w:bCs w:val="0"/>
          <w:color w:val="auto"/>
          <w:sz w:val="44"/>
          <w:szCs w:val="44"/>
          <w:lang w:val="zh-CN"/>
        </w:rPr>
        <w:t>目</w:t>
      </w:r>
      <w:r>
        <w:rPr>
          <w:rFonts w:hint="eastAsia" w:ascii="仿宋" w:hAnsi="仿宋" w:eastAsia="仿宋" w:cs="仿宋"/>
          <w:bCs w:val="0"/>
          <w:color w:val="auto"/>
          <w:sz w:val="44"/>
          <w:szCs w:val="44"/>
        </w:rPr>
        <w:t xml:space="preserve"> </w:t>
      </w:r>
      <w:r>
        <w:rPr>
          <w:rFonts w:hint="eastAsia" w:ascii="仿宋" w:hAnsi="仿宋" w:eastAsia="仿宋" w:cs="仿宋"/>
          <w:bCs w:val="0"/>
          <w:color w:val="auto"/>
          <w:sz w:val="44"/>
          <w:szCs w:val="44"/>
          <w:lang w:val="zh-CN"/>
        </w:rPr>
        <w:t>录</w:t>
      </w:r>
    </w:p>
    <w:p>
      <w:pPr>
        <w:spacing w:beforeLines="100"/>
        <w:ind w:firstLine="723" w:firstLineChars="200"/>
        <w:jc w:val="left"/>
        <w:rPr>
          <w:rFonts w:hint="eastAsia" w:ascii="仿宋" w:hAnsi="仿宋" w:eastAsia="仿宋" w:cs="仿宋"/>
          <w:sz w:val="36"/>
          <w:szCs w:val="36"/>
        </w:rPr>
      </w:pPr>
      <w:r>
        <w:rPr>
          <w:rFonts w:hint="eastAsia" w:ascii="仿宋" w:hAnsi="仿宋" w:eastAsia="仿宋" w:cs="仿宋"/>
          <w:b/>
          <w:bCs/>
          <w:sz w:val="36"/>
          <w:szCs w:val="36"/>
        </w:rPr>
        <w:t>绩效自评报告</w:t>
      </w:r>
      <w:r>
        <w:rPr>
          <w:rFonts w:hint="eastAsia" w:ascii="仿宋" w:hAnsi="仿宋" w:eastAsia="仿宋" w:cs="仿宋"/>
          <w:sz w:val="36"/>
          <w:szCs w:val="36"/>
        </w:rPr>
        <w:t>摘要</w:t>
      </w:r>
    </w:p>
    <w:p>
      <w:pPr>
        <w:spacing w:beforeLines="50"/>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一、部门概况</w:t>
      </w:r>
    </w:p>
    <w:p>
      <w:pPr>
        <w:spacing w:beforeLines="50"/>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二、评价结论及绩效分析</w:t>
      </w:r>
    </w:p>
    <w:p>
      <w:pPr>
        <w:spacing w:beforeLines="50"/>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三、部门整体支出绩效工作的经验、问题和建议</w:t>
      </w:r>
    </w:p>
    <w:p>
      <w:pPr>
        <w:spacing w:beforeLines="100"/>
        <w:ind w:firstLine="723" w:firstLineChars="200"/>
        <w:jc w:val="left"/>
        <w:rPr>
          <w:rFonts w:hint="eastAsia" w:ascii="仿宋" w:hAnsi="仿宋" w:eastAsia="仿宋" w:cs="仿宋"/>
          <w:b/>
          <w:bCs/>
          <w:sz w:val="36"/>
          <w:szCs w:val="36"/>
        </w:rPr>
      </w:pPr>
    </w:p>
    <w:p>
      <w:pPr>
        <w:spacing w:beforeLines="100"/>
        <w:ind w:firstLine="723" w:firstLineChars="200"/>
        <w:jc w:val="left"/>
        <w:rPr>
          <w:rFonts w:hint="eastAsia" w:ascii="仿宋" w:hAnsi="仿宋" w:eastAsia="仿宋" w:cs="仿宋"/>
          <w:sz w:val="32"/>
          <w:szCs w:val="32"/>
        </w:rPr>
      </w:pPr>
      <w:r>
        <w:rPr>
          <w:rFonts w:hint="eastAsia" w:ascii="仿宋" w:hAnsi="仿宋" w:eastAsia="仿宋" w:cs="仿宋"/>
          <w:b/>
          <w:bCs/>
          <w:sz w:val="36"/>
          <w:szCs w:val="36"/>
        </w:rPr>
        <w:t>绩效自评报告</w:t>
      </w:r>
      <w:r>
        <w:rPr>
          <w:rFonts w:hint="eastAsia" w:ascii="仿宋" w:hAnsi="仿宋" w:eastAsia="仿宋" w:cs="仿宋"/>
          <w:sz w:val="36"/>
          <w:szCs w:val="36"/>
        </w:rPr>
        <w:t>正文</w:t>
      </w:r>
      <w:r>
        <w:rPr>
          <w:rFonts w:hint="eastAsia" w:ascii="仿宋" w:hAnsi="仿宋" w:eastAsia="仿宋" w:cs="仿宋"/>
          <w:sz w:val="32"/>
          <w:szCs w:val="32"/>
        </w:rPr>
        <w:tab/>
      </w:r>
      <w:r>
        <w:rPr>
          <w:rFonts w:hint="eastAsia" w:ascii="仿宋" w:hAnsi="仿宋" w:eastAsia="仿宋" w:cs="仿宋"/>
          <w:sz w:val="32"/>
          <w:szCs w:val="32"/>
        </w:rPr>
        <w:t xml:space="preserve"> </w:t>
      </w:r>
    </w:p>
    <w:p>
      <w:pPr>
        <w:spacing w:beforeLines="50"/>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一、部门概况</w:t>
      </w:r>
      <w:r>
        <w:rPr>
          <w:rFonts w:hint="eastAsia" w:ascii="仿宋" w:hAnsi="仿宋" w:eastAsia="仿宋" w:cs="仿宋"/>
          <w:sz w:val="32"/>
          <w:szCs w:val="32"/>
        </w:rPr>
        <w:tab/>
      </w:r>
      <w:r>
        <w:rPr>
          <w:rFonts w:hint="eastAsia" w:ascii="仿宋" w:hAnsi="仿宋" w:eastAsia="仿宋" w:cs="仿宋"/>
          <w:sz w:val="32"/>
          <w:szCs w:val="32"/>
        </w:rPr>
        <w:t xml:space="preserve"> </w:t>
      </w:r>
    </w:p>
    <w:p>
      <w:pPr>
        <w:spacing w:beforeLines="50"/>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（一）部门机构设置、编制</w:t>
      </w:r>
      <w:r>
        <w:rPr>
          <w:rFonts w:hint="eastAsia" w:ascii="仿宋" w:hAnsi="仿宋" w:eastAsia="仿宋" w:cs="仿宋"/>
          <w:sz w:val="32"/>
          <w:szCs w:val="32"/>
        </w:rPr>
        <w:tab/>
      </w:r>
    </w:p>
    <w:p>
      <w:pPr>
        <w:spacing w:beforeLines="50"/>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（二）部门职能</w:t>
      </w:r>
    </w:p>
    <w:p>
      <w:pPr>
        <w:spacing w:beforeLines="50"/>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（三）部门工作完成情况</w:t>
      </w:r>
      <w:r>
        <w:rPr>
          <w:rFonts w:hint="eastAsia" w:ascii="仿宋" w:hAnsi="仿宋" w:eastAsia="仿宋" w:cs="仿宋"/>
          <w:sz w:val="32"/>
          <w:szCs w:val="32"/>
        </w:rPr>
        <w:tab/>
      </w:r>
      <w:r>
        <w:rPr>
          <w:rFonts w:hint="eastAsia" w:ascii="仿宋" w:hAnsi="仿宋" w:eastAsia="仿宋" w:cs="仿宋"/>
          <w:sz w:val="32"/>
          <w:szCs w:val="32"/>
        </w:rPr>
        <w:t xml:space="preserve"> </w:t>
      </w:r>
    </w:p>
    <w:p>
      <w:pPr>
        <w:spacing w:beforeLines="50"/>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（四）部门管理制度 </w:t>
      </w:r>
    </w:p>
    <w:p>
      <w:pPr>
        <w:spacing w:beforeLines="50"/>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（五）部门资金来源及使用情况</w:t>
      </w:r>
      <w:r>
        <w:rPr>
          <w:rFonts w:hint="eastAsia" w:ascii="仿宋" w:hAnsi="仿宋" w:eastAsia="仿宋" w:cs="仿宋"/>
          <w:sz w:val="32"/>
          <w:szCs w:val="32"/>
        </w:rPr>
        <w:tab/>
      </w:r>
      <w:r>
        <w:rPr>
          <w:rFonts w:hint="eastAsia" w:ascii="仿宋" w:hAnsi="仿宋" w:eastAsia="仿宋" w:cs="仿宋"/>
          <w:sz w:val="32"/>
          <w:szCs w:val="32"/>
        </w:rPr>
        <w:t xml:space="preserve"> </w:t>
      </w:r>
    </w:p>
    <w:p>
      <w:pPr>
        <w:spacing w:beforeLines="50"/>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（六）政府采购情况 </w:t>
      </w:r>
    </w:p>
    <w:p>
      <w:pPr>
        <w:spacing w:beforeLines="50"/>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（七）固定资产情况</w:t>
      </w:r>
      <w:r>
        <w:rPr>
          <w:rFonts w:hint="eastAsia" w:ascii="仿宋" w:hAnsi="仿宋" w:eastAsia="仿宋" w:cs="仿宋"/>
          <w:sz w:val="32"/>
          <w:szCs w:val="32"/>
        </w:rPr>
        <w:tab/>
      </w:r>
      <w:r>
        <w:rPr>
          <w:rFonts w:hint="eastAsia" w:ascii="仿宋" w:hAnsi="仿宋" w:eastAsia="仿宋" w:cs="仿宋"/>
          <w:sz w:val="32"/>
          <w:szCs w:val="32"/>
        </w:rPr>
        <w:t xml:space="preserve"> </w:t>
      </w:r>
    </w:p>
    <w:p>
      <w:pPr>
        <w:spacing w:beforeLines="50"/>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二、绩效目标</w:t>
      </w:r>
      <w:r>
        <w:rPr>
          <w:rFonts w:hint="eastAsia" w:ascii="仿宋" w:hAnsi="仿宋" w:eastAsia="仿宋" w:cs="仿宋"/>
          <w:sz w:val="32"/>
          <w:szCs w:val="32"/>
        </w:rPr>
        <w:tab/>
      </w:r>
      <w:r>
        <w:rPr>
          <w:rFonts w:hint="eastAsia" w:ascii="仿宋" w:hAnsi="仿宋" w:eastAsia="仿宋" w:cs="仿宋"/>
          <w:sz w:val="32"/>
          <w:szCs w:val="32"/>
        </w:rPr>
        <w:t xml:space="preserve"> </w:t>
      </w:r>
    </w:p>
    <w:p>
      <w:pPr>
        <w:spacing w:beforeLines="50"/>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三、评价思路和过程</w:t>
      </w:r>
      <w:r>
        <w:rPr>
          <w:rFonts w:hint="eastAsia" w:ascii="仿宋" w:hAnsi="仿宋" w:eastAsia="仿宋" w:cs="仿宋"/>
          <w:sz w:val="32"/>
          <w:szCs w:val="32"/>
        </w:rPr>
        <w:tab/>
      </w:r>
      <w:r>
        <w:rPr>
          <w:rFonts w:hint="eastAsia" w:ascii="仿宋" w:hAnsi="仿宋" w:eastAsia="仿宋" w:cs="仿宋"/>
          <w:sz w:val="32"/>
          <w:szCs w:val="32"/>
        </w:rPr>
        <w:t xml:space="preserve"> </w:t>
      </w:r>
    </w:p>
    <w:p>
      <w:pPr>
        <w:spacing w:beforeLines="50"/>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（一）评价思路</w:t>
      </w:r>
      <w:r>
        <w:rPr>
          <w:rFonts w:hint="eastAsia" w:ascii="仿宋" w:hAnsi="仿宋" w:eastAsia="仿宋" w:cs="仿宋"/>
          <w:sz w:val="32"/>
          <w:szCs w:val="32"/>
        </w:rPr>
        <w:tab/>
      </w:r>
      <w:r>
        <w:rPr>
          <w:rFonts w:hint="eastAsia" w:ascii="仿宋" w:hAnsi="仿宋" w:eastAsia="仿宋" w:cs="仿宋"/>
          <w:sz w:val="32"/>
          <w:szCs w:val="32"/>
        </w:rPr>
        <w:t xml:space="preserve"> </w:t>
      </w:r>
    </w:p>
    <w:p>
      <w:pPr>
        <w:spacing w:beforeLines="50"/>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（二）评价目的</w:t>
      </w:r>
      <w:r>
        <w:rPr>
          <w:rFonts w:hint="eastAsia" w:ascii="仿宋" w:hAnsi="仿宋" w:eastAsia="仿宋" w:cs="仿宋"/>
          <w:sz w:val="32"/>
          <w:szCs w:val="32"/>
        </w:rPr>
        <w:tab/>
      </w:r>
      <w:r>
        <w:rPr>
          <w:rFonts w:hint="eastAsia" w:ascii="仿宋" w:hAnsi="仿宋" w:eastAsia="仿宋" w:cs="仿宋"/>
          <w:sz w:val="32"/>
          <w:szCs w:val="32"/>
        </w:rPr>
        <w:t xml:space="preserve"> </w:t>
      </w:r>
    </w:p>
    <w:p>
      <w:pPr>
        <w:spacing w:beforeLines="50"/>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（三）评价依据</w:t>
      </w:r>
      <w:r>
        <w:rPr>
          <w:rFonts w:hint="eastAsia" w:ascii="仿宋" w:hAnsi="仿宋" w:eastAsia="仿宋" w:cs="仿宋"/>
          <w:sz w:val="32"/>
          <w:szCs w:val="32"/>
        </w:rPr>
        <w:tab/>
      </w:r>
      <w:r>
        <w:rPr>
          <w:rFonts w:hint="eastAsia" w:ascii="仿宋" w:hAnsi="仿宋" w:eastAsia="仿宋" w:cs="仿宋"/>
          <w:sz w:val="32"/>
          <w:szCs w:val="32"/>
        </w:rPr>
        <w:t xml:space="preserve"> </w:t>
      </w:r>
    </w:p>
    <w:p>
      <w:pPr>
        <w:spacing w:beforeLines="50"/>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（四）评价对象及评价时段</w:t>
      </w:r>
      <w:r>
        <w:rPr>
          <w:rFonts w:hint="eastAsia" w:ascii="仿宋" w:hAnsi="仿宋" w:eastAsia="仿宋" w:cs="仿宋"/>
          <w:sz w:val="32"/>
          <w:szCs w:val="32"/>
        </w:rPr>
        <w:tab/>
      </w:r>
      <w:r>
        <w:rPr>
          <w:rFonts w:hint="eastAsia" w:ascii="仿宋" w:hAnsi="仿宋" w:eastAsia="仿宋" w:cs="仿宋"/>
          <w:sz w:val="32"/>
          <w:szCs w:val="32"/>
        </w:rPr>
        <w:t xml:space="preserve"> </w:t>
      </w:r>
    </w:p>
    <w:p>
      <w:pPr>
        <w:spacing w:beforeLines="50"/>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四、评价结论和绩效分析</w:t>
      </w:r>
      <w:r>
        <w:rPr>
          <w:rFonts w:hint="eastAsia" w:ascii="仿宋" w:hAnsi="仿宋" w:eastAsia="仿宋" w:cs="仿宋"/>
          <w:sz w:val="32"/>
          <w:szCs w:val="32"/>
        </w:rPr>
        <w:tab/>
      </w:r>
      <w:r>
        <w:rPr>
          <w:rFonts w:hint="eastAsia" w:ascii="仿宋" w:hAnsi="仿宋" w:eastAsia="仿宋" w:cs="仿宋"/>
          <w:sz w:val="32"/>
          <w:szCs w:val="32"/>
        </w:rPr>
        <w:t xml:space="preserve"> </w:t>
      </w:r>
    </w:p>
    <w:p>
      <w:pPr>
        <w:spacing w:beforeLines="50"/>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（一）评价结论</w:t>
      </w:r>
      <w:r>
        <w:rPr>
          <w:rFonts w:hint="eastAsia" w:ascii="仿宋" w:hAnsi="仿宋" w:eastAsia="仿宋" w:cs="仿宋"/>
          <w:sz w:val="32"/>
          <w:szCs w:val="32"/>
        </w:rPr>
        <w:tab/>
      </w:r>
      <w:r>
        <w:rPr>
          <w:rFonts w:hint="eastAsia" w:ascii="仿宋" w:hAnsi="仿宋" w:eastAsia="仿宋" w:cs="仿宋"/>
          <w:sz w:val="32"/>
          <w:szCs w:val="32"/>
        </w:rPr>
        <w:t xml:space="preserve"> </w:t>
      </w:r>
    </w:p>
    <w:p>
      <w:pPr>
        <w:spacing w:beforeLines="50"/>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（二）具体绩效分析</w:t>
      </w:r>
      <w:r>
        <w:rPr>
          <w:rFonts w:hint="eastAsia" w:ascii="仿宋" w:hAnsi="仿宋" w:eastAsia="仿宋" w:cs="仿宋"/>
          <w:sz w:val="32"/>
          <w:szCs w:val="32"/>
        </w:rPr>
        <w:tab/>
      </w:r>
      <w:r>
        <w:rPr>
          <w:rFonts w:hint="eastAsia" w:ascii="仿宋" w:hAnsi="仿宋" w:eastAsia="仿宋" w:cs="仿宋"/>
          <w:sz w:val="32"/>
          <w:szCs w:val="32"/>
        </w:rPr>
        <w:t xml:space="preserve"> </w:t>
      </w:r>
    </w:p>
    <w:p>
      <w:pPr>
        <w:spacing w:beforeLines="50"/>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五、主要经验做法</w:t>
      </w:r>
      <w:r>
        <w:rPr>
          <w:rFonts w:hint="eastAsia" w:ascii="仿宋" w:hAnsi="仿宋" w:eastAsia="仿宋" w:cs="仿宋"/>
          <w:sz w:val="32"/>
          <w:szCs w:val="32"/>
        </w:rPr>
        <w:tab/>
      </w:r>
      <w:r>
        <w:rPr>
          <w:rFonts w:hint="eastAsia" w:ascii="仿宋" w:hAnsi="仿宋" w:eastAsia="仿宋" w:cs="仿宋"/>
          <w:sz w:val="32"/>
          <w:szCs w:val="32"/>
        </w:rPr>
        <w:t xml:space="preserve"> </w:t>
      </w:r>
    </w:p>
    <w:p>
      <w:pPr>
        <w:spacing w:beforeLines="50"/>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六、存在的问题</w:t>
      </w:r>
      <w:r>
        <w:rPr>
          <w:rFonts w:hint="eastAsia" w:ascii="仿宋" w:hAnsi="仿宋" w:eastAsia="仿宋" w:cs="仿宋"/>
          <w:sz w:val="32"/>
          <w:szCs w:val="32"/>
        </w:rPr>
        <w:tab/>
      </w:r>
      <w:r>
        <w:rPr>
          <w:rFonts w:hint="eastAsia" w:ascii="仿宋" w:hAnsi="仿宋" w:eastAsia="仿宋" w:cs="仿宋"/>
          <w:sz w:val="32"/>
          <w:szCs w:val="32"/>
        </w:rPr>
        <w:t xml:space="preserve"> </w:t>
      </w:r>
    </w:p>
    <w:p>
      <w:pPr>
        <w:spacing w:beforeLines="50"/>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七、改进措施及建议</w:t>
      </w:r>
      <w:r>
        <w:rPr>
          <w:rFonts w:hint="eastAsia" w:ascii="仿宋" w:hAnsi="仿宋" w:eastAsia="仿宋" w:cs="仿宋"/>
          <w:sz w:val="32"/>
          <w:szCs w:val="32"/>
        </w:rPr>
        <w:tab/>
      </w:r>
      <w:r>
        <w:rPr>
          <w:rFonts w:hint="eastAsia" w:ascii="仿宋" w:hAnsi="仿宋" w:eastAsia="仿宋" w:cs="仿宋"/>
          <w:sz w:val="32"/>
          <w:szCs w:val="32"/>
        </w:rPr>
        <w:t xml:space="preserve"> </w:t>
      </w:r>
    </w:p>
    <w:p>
      <w:pPr>
        <w:spacing w:beforeLines="50"/>
        <w:ind w:firstLine="640" w:firstLineChars="200"/>
        <w:jc w:val="left"/>
        <w:rPr>
          <w:rFonts w:hint="eastAsia" w:ascii="仿宋" w:hAnsi="仿宋" w:eastAsia="仿宋" w:cs="仿宋"/>
          <w:sz w:val="32"/>
          <w:szCs w:val="32"/>
        </w:rPr>
      </w:pPr>
    </w:p>
    <w:p>
      <w:pPr>
        <w:pStyle w:val="11"/>
        <w:tabs>
          <w:tab w:val="left" w:pos="2014"/>
        </w:tabs>
        <w:spacing w:beforeLines="50" w:line="240" w:lineRule="auto"/>
        <w:ind w:firstLine="723" w:firstLineChars="200"/>
        <w:jc w:val="left"/>
        <w:rPr>
          <w:rFonts w:hint="eastAsia" w:ascii="仿宋" w:hAnsi="仿宋" w:eastAsia="仿宋" w:cs="仿宋"/>
          <w:sz w:val="32"/>
          <w:szCs w:val="32"/>
        </w:rPr>
      </w:pPr>
      <w:r>
        <w:rPr>
          <w:rFonts w:hint="eastAsia" w:ascii="仿宋" w:hAnsi="仿宋" w:eastAsia="仿宋" w:cs="仿宋"/>
          <w:b/>
          <w:bCs/>
          <w:sz w:val="36"/>
          <w:szCs w:val="36"/>
        </w:rPr>
        <w:t>附件</w:t>
      </w:r>
    </w:p>
    <w:p>
      <w:pPr>
        <w:pStyle w:val="11"/>
        <w:tabs>
          <w:tab w:val="left" w:pos="2014"/>
        </w:tabs>
        <w:spacing w:beforeLines="50" w:line="240" w:lineRule="auto"/>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1、迪庆州图书馆十三五规划编制</w:t>
      </w:r>
    </w:p>
    <w:p>
      <w:pPr>
        <w:pStyle w:val="11"/>
        <w:tabs>
          <w:tab w:val="left" w:pos="2036"/>
        </w:tabs>
        <w:spacing w:beforeLines="50" w:line="240" w:lineRule="auto"/>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2、迪庆州图书馆内部管理制度</w:t>
      </w:r>
    </w:p>
    <w:p>
      <w:pPr>
        <w:pStyle w:val="11"/>
        <w:tabs>
          <w:tab w:val="left" w:pos="2036"/>
        </w:tabs>
        <w:spacing w:beforeLines="50" w:line="240" w:lineRule="auto"/>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3、迪庆州图书馆2019年三定方案</w:t>
      </w:r>
    </w:p>
    <w:p>
      <w:pPr>
        <w:pStyle w:val="11"/>
        <w:tabs>
          <w:tab w:val="left" w:pos="2036"/>
        </w:tabs>
        <w:spacing w:beforeLines="50" w:line="240" w:lineRule="auto"/>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4、迪庆州图书馆2019年工作计划及工作督查记录表</w:t>
      </w:r>
    </w:p>
    <w:p>
      <w:pPr>
        <w:pStyle w:val="11"/>
        <w:tabs>
          <w:tab w:val="left" w:pos="2036"/>
        </w:tabs>
        <w:spacing w:beforeLines="50" w:line="240" w:lineRule="auto"/>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5、迪庆州图书馆2019年工作总结及2020年工作计划</w:t>
      </w:r>
    </w:p>
    <w:p>
      <w:pPr>
        <w:pStyle w:val="11"/>
        <w:tabs>
          <w:tab w:val="left" w:pos="2036"/>
        </w:tabs>
        <w:spacing w:beforeLines="50" w:line="240" w:lineRule="auto"/>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6、迪庆藏族自治州图书馆管理办法</w:t>
      </w:r>
    </w:p>
    <w:p>
      <w:pPr>
        <w:pStyle w:val="11"/>
        <w:tabs>
          <w:tab w:val="left" w:pos="2036"/>
        </w:tabs>
        <w:spacing w:beforeLines="50" w:line="240" w:lineRule="auto"/>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lang w:eastAsia="zh-CN"/>
        </w:rPr>
        <w:t>财政部关于印发《中央补助地方公共文化服务体系建设专项资金管理暂行</w:t>
      </w:r>
      <w:r>
        <w:rPr>
          <w:rFonts w:hint="eastAsia" w:ascii="仿宋" w:hAnsi="仿宋" w:eastAsia="仿宋" w:cs="仿宋"/>
          <w:color w:val="000000"/>
          <w:sz w:val="32"/>
          <w:szCs w:val="32"/>
        </w:rPr>
        <w:t>办法</w:t>
      </w:r>
      <w:r>
        <w:rPr>
          <w:rFonts w:hint="eastAsia" w:ascii="仿宋" w:hAnsi="仿宋" w:eastAsia="仿宋" w:cs="仿宋"/>
          <w:color w:val="000000"/>
          <w:sz w:val="32"/>
          <w:szCs w:val="32"/>
          <w:lang w:eastAsia="zh-CN"/>
        </w:rPr>
        <w:t>》的通知》（财教</w:t>
      </w:r>
      <w:r>
        <w:rPr>
          <w:rFonts w:hint="eastAsia" w:ascii="仿宋" w:hAnsi="仿宋" w:eastAsia="仿宋" w:cs="仿宋"/>
          <w:color w:val="000000"/>
          <w:sz w:val="32"/>
          <w:szCs w:val="32"/>
          <w:lang w:val="en-US" w:eastAsia="zh-CN"/>
        </w:rPr>
        <w:t>[2015]527号）</w:t>
      </w:r>
    </w:p>
    <w:p>
      <w:pPr>
        <w:pStyle w:val="11"/>
        <w:tabs>
          <w:tab w:val="left" w:pos="2036"/>
        </w:tabs>
        <w:spacing w:beforeLines="50" w:line="240" w:lineRule="auto"/>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8、财政部 文化部关于印发《中央补助地方美术馆公共图书馆 文化馆（站）免费开放专项资金管理暂行办法》（财教〔2013〕98号）</w:t>
      </w:r>
    </w:p>
    <w:p>
      <w:pPr>
        <w:pStyle w:val="11"/>
        <w:tabs>
          <w:tab w:val="left" w:pos="2036"/>
        </w:tabs>
        <w:spacing w:beforeLines="50" w:line="240" w:lineRule="auto"/>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9、财政部关于印发《中央对地方专项转移支付管理办法〉的通知》（财预[2015]230号）</w:t>
      </w:r>
    </w:p>
    <w:p>
      <w:pPr>
        <w:pStyle w:val="11"/>
        <w:tabs>
          <w:tab w:val="left" w:pos="2022"/>
        </w:tabs>
        <w:spacing w:beforeLines="50" w:line="240" w:lineRule="auto"/>
        <w:ind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10、迪庆藏族自治州图书馆</w:t>
      </w:r>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部门</w:t>
      </w:r>
      <w:r>
        <w:rPr>
          <w:rFonts w:hint="eastAsia" w:ascii="仿宋" w:hAnsi="仿宋" w:eastAsia="仿宋" w:cs="仿宋"/>
          <w:color w:val="000000"/>
          <w:sz w:val="32"/>
          <w:szCs w:val="32"/>
        </w:rPr>
        <w:t>预算</w:t>
      </w:r>
      <w:r>
        <w:rPr>
          <w:rFonts w:hint="eastAsia" w:ascii="仿宋" w:hAnsi="仿宋" w:eastAsia="仿宋" w:cs="仿宋"/>
          <w:color w:val="000000"/>
          <w:sz w:val="32"/>
          <w:szCs w:val="32"/>
          <w:lang w:eastAsia="zh-CN"/>
        </w:rPr>
        <w:t>表</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迪庆藏族自治州图书馆</w:t>
      </w:r>
      <w:r>
        <w:rPr>
          <w:rFonts w:hint="eastAsia" w:ascii="仿宋" w:hAnsi="仿宋" w:eastAsia="仿宋" w:cs="仿宋"/>
          <w:color w:val="000000"/>
          <w:sz w:val="32"/>
          <w:szCs w:val="32"/>
        </w:rPr>
        <w:t>2019年财政拨款收入支出决算总表</w:t>
      </w:r>
      <w:r>
        <w:rPr>
          <w:rFonts w:hint="eastAsia" w:ascii="仿宋" w:hAnsi="仿宋" w:eastAsia="仿宋" w:cs="仿宋"/>
          <w:color w:val="000000"/>
          <w:sz w:val="32"/>
          <w:szCs w:val="32"/>
          <w:lang w:eastAsia="zh-CN"/>
        </w:rPr>
        <w:t>、迪庆藏族自治州图书馆2019年收入支出决算总表</w:t>
      </w:r>
    </w:p>
    <w:p>
      <w:pPr>
        <w:ind w:firstLine="600" w:firstLineChars="200"/>
        <w:jc w:val="left"/>
        <w:rPr>
          <w:rFonts w:hint="eastAsia" w:ascii="仿宋" w:hAnsi="仿宋" w:eastAsia="仿宋" w:cs="仿宋"/>
          <w:sz w:val="30"/>
          <w:szCs w:val="30"/>
        </w:rPr>
      </w:pPr>
    </w:p>
    <w:p>
      <w:pPr>
        <w:ind w:firstLine="600" w:firstLineChars="200"/>
        <w:jc w:val="left"/>
        <w:rPr>
          <w:rFonts w:hint="eastAsia" w:ascii="仿宋" w:hAnsi="仿宋" w:eastAsia="仿宋" w:cs="仿宋"/>
          <w:sz w:val="30"/>
          <w:szCs w:val="30"/>
        </w:rPr>
      </w:pPr>
    </w:p>
    <w:p>
      <w:pPr>
        <w:ind w:firstLine="600" w:firstLineChars="200"/>
        <w:jc w:val="center"/>
        <w:rPr>
          <w:rFonts w:hint="eastAsia" w:ascii="仿宋" w:hAnsi="仿宋" w:eastAsia="仿宋" w:cs="仿宋"/>
          <w:sz w:val="30"/>
          <w:szCs w:val="30"/>
        </w:rPr>
      </w:pPr>
    </w:p>
    <w:p>
      <w:pPr>
        <w:ind w:firstLine="600" w:firstLineChars="200"/>
        <w:jc w:val="center"/>
        <w:rPr>
          <w:rFonts w:hint="eastAsia" w:ascii="仿宋" w:hAnsi="仿宋" w:eastAsia="仿宋" w:cs="仿宋"/>
          <w:sz w:val="30"/>
          <w:szCs w:val="30"/>
        </w:rPr>
      </w:pPr>
    </w:p>
    <w:p>
      <w:pPr>
        <w:spacing w:line="360" w:lineRule="auto"/>
        <w:ind w:firstLine="883" w:firstLineChars="200"/>
        <w:jc w:val="center"/>
        <w:rPr>
          <w:rFonts w:hint="eastAsia" w:ascii="仿宋" w:hAnsi="仿宋" w:eastAsia="仿宋" w:cs="仿宋"/>
          <w:b/>
          <w:bCs/>
          <w:sz w:val="44"/>
          <w:szCs w:val="44"/>
        </w:rPr>
      </w:pPr>
      <w:r>
        <w:rPr>
          <w:rFonts w:hint="eastAsia" w:ascii="仿宋" w:hAnsi="仿宋" w:eastAsia="仿宋" w:cs="仿宋"/>
          <w:b/>
          <w:bCs/>
          <w:sz w:val="44"/>
          <w:szCs w:val="44"/>
        </w:rPr>
        <w:t>迪庆藏族自治州图书馆部门2019年度</w:t>
      </w:r>
    </w:p>
    <w:p>
      <w:pPr>
        <w:spacing w:line="360" w:lineRule="auto"/>
        <w:ind w:firstLine="883" w:firstLineChars="200"/>
        <w:jc w:val="center"/>
        <w:rPr>
          <w:rFonts w:hint="eastAsia" w:ascii="仿宋" w:hAnsi="仿宋" w:eastAsia="仿宋" w:cs="仿宋"/>
          <w:b/>
          <w:bCs/>
          <w:sz w:val="44"/>
          <w:szCs w:val="44"/>
        </w:rPr>
      </w:pPr>
      <w:r>
        <w:rPr>
          <w:rFonts w:hint="eastAsia" w:ascii="仿宋" w:hAnsi="仿宋" w:eastAsia="仿宋" w:cs="仿宋"/>
          <w:b/>
          <w:bCs/>
          <w:sz w:val="44"/>
          <w:szCs w:val="44"/>
        </w:rPr>
        <w:t>部门整体支出绩效自评报告</w:t>
      </w:r>
    </w:p>
    <w:p>
      <w:pPr>
        <w:spacing w:line="360" w:lineRule="auto"/>
        <w:ind w:firstLine="723" w:firstLineChars="200"/>
        <w:jc w:val="center"/>
        <w:rPr>
          <w:rFonts w:hint="eastAsia" w:ascii="仿宋" w:hAnsi="仿宋" w:eastAsia="仿宋" w:cs="仿宋"/>
          <w:b/>
          <w:bCs/>
          <w:sz w:val="36"/>
          <w:szCs w:val="36"/>
        </w:rPr>
      </w:pPr>
      <w:r>
        <w:rPr>
          <w:rFonts w:hint="eastAsia" w:ascii="仿宋" w:hAnsi="仿宋" w:eastAsia="仿宋" w:cs="仿宋"/>
          <w:b/>
          <w:bCs/>
          <w:sz w:val="36"/>
          <w:szCs w:val="36"/>
        </w:rPr>
        <w:t>摘 要</w:t>
      </w:r>
    </w:p>
    <w:p>
      <w:pPr>
        <w:pStyle w:val="11"/>
        <w:spacing w:line="360" w:lineRule="auto"/>
        <w:ind w:firstLine="0"/>
        <w:rPr>
          <w:rFonts w:hint="eastAsia" w:ascii="仿宋" w:hAnsi="仿宋" w:eastAsia="仿宋" w:cs="仿宋"/>
          <w:color w:val="000000"/>
        </w:rPr>
      </w:pPr>
      <w:bookmarkStart w:id="0" w:name="bookmark4"/>
    </w:p>
    <w:p>
      <w:pPr>
        <w:pStyle w:val="11"/>
        <w:spacing w:line="360" w:lineRule="auto"/>
        <w:ind w:firstLine="0"/>
        <w:rPr>
          <w:rFonts w:hint="eastAsia" w:ascii="仿宋" w:hAnsi="仿宋" w:eastAsia="仿宋" w:cs="仿宋"/>
          <w:b/>
          <w:bCs/>
          <w:sz w:val="36"/>
          <w:szCs w:val="36"/>
          <w:lang w:eastAsia="zh-CN"/>
        </w:rPr>
      </w:pPr>
      <w:r>
        <w:rPr>
          <w:rFonts w:hint="eastAsia" w:ascii="仿宋" w:hAnsi="仿宋" w:eastAsia="仿宋" w:cs="仿宋"/>
          <w:b/>
          <w:bCs/>
          <w:color w:val="000000"/>
          <w:sz w:val="36"/>
          <w:szCs w:val="36"/>
        </w:rPr>
        <w:t>一</w:t>
      </w:r>
      <w:bookmarkEnd w:id="0"/>
      <w:r>
        <w:rPr>
          <w:rFonts w:hint="eastAsia" w:ascii="仿宋" w:hAnsi="仿宋" w:eastAsia="仿宋" w:cs="仿宋"/>
          <w:b/>
          <w:bCs/>
          <w:color w:val="000000"/>
          <w:sz w:val="36"/>
          <w:szCs w:val="36"/>
        </w:rPr>
        <w:t>、部门概况</w:t>
      </w:r>
    </w:p>
    <w:p>
      <w:pPr>
        <w:pStyle w:val="11"/>
        <w:spacing w:line="360" w:lineRule="auto"/>
        <w:ind w:firstLine="840"/>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(―)主要职能职责</w:t>
      </w:r>
    </w:p>
    <w:p>
      <w:pPr>
        <w:pStyle w:val="11"/>
        <w:spacing w:line="360" w:lineRule="auto"/>
        <w:ind w:firstLine="840"/>
        <w:jc w:val="left"/>
        <w:rPr>
          <w:rFonts w:hint="eastAsia" w:ascii="仿宋" w:hAnsi="仿宋" w:eastAsia="仿宋" w:cs="仿宋"/>
          <w:lang w:val="en-US" w:eastAsia="zh-CN"/>
        </w:rPr>
      </w:pPr>
      <w:r>
        <w:rPr>
          <w:rFonts w:hint="eastAsia" w:ascii="仿宋" w:hAnsi="仿宋" w:eastAsia="仿宋" w:cs="仿宋"/>
          <w:sz w:val="32"/>
          <w:szCs w:val="32"/>
          <w:lang w:eastAsia="zh-CN"/>
        </w:rPr>
        <w:t>迪庆藏族自治州图书馆</w:t>
      </w:r>
      <w:r>
        <w:rPr>
          <w:rFonts w:hint="eastAsia" w:ascii="仿宋" w:hAnsi="仿宋" w:eastAsia="仿宋" w:cs="仿宋"/>
          <w:sz w:val="32"/>
          <w:szCs w:val="32"/>
        </w:rPr>
        <w:t>是政府为保障公民基本文化权益设立的公益性文化事业机构，是向公民提供各类文化服务的公共文化设施。</w:t>
      </w:r>
      <w:r>
        <w:rPr>
          <w:rFonts w:hint="eastAsia" w:ascii="仿宋" w:hAnsi="仿宋" w:eastAsia="仿宋" w:cs="仿宋"/>
          <w:color w:val="000000"/>
          <w:kern w:val="0"/>
          <w:sz w:val="32"/>
          <w:szCs w:val="32"/>
        </w:rPr>
        <w:t>丰富和活跃广大群众的文化生活；普及科学文化艺术知识；指导社会文化活动的普及与提高；开展社会宣传教育。</w:t>
      </w:r>
      <w:r>
        <w:rPr>
          <w:rFonts w:hint="eastAsia" w:ascii="仿宋" w:hAnsi="仿宋" w:eastAsia="仿宋" w:cs="仿宋"/>
          <w:bCs/>
          <w:sz w:val="32"/>
          <w:szCs w:val="32"/>
        </w:rPr>
        <w:t>广泛收集、整理、保存各类图书、报纸、期刊、音像制品、电子出版物和网络信息等文献信息资源，分门别类建立数据库、资源库</w:t>
      </w:r>
      <w:r>
        <w:rPr>
          <w:rFonts w:hint="eastAsia" w:ascii="仿宋" w:hAnsi="仿宋" w:eastAsia="仿宋" w:cs="仿宋"/>
          <w:bCs/>
          <w:sz w:val="32"/>
          <w:szCs w:val="32"/>
          <w:lang w:eastAsia="zh-CN"/>
        </w:rPr>
        <w:t>；</w:t>
      </w:r>
      <w:r>
        <w:rPr>
          <w:rFonts w:hint="eastAsia" w:ascii="仿宋" w:hAnsi="仿宋" w:eastAsia="仿宋" w:cs="仿宋"/>
          <w:bCs/>
          <w:sz w:val="32"/>
          <w:szCs w:val="32"/>
        </w:rPr>
        <w:t>通过馆内、网上流通阅览、书目参考、咨询答疑，馆外设立分馆、流动图书馆（室）、图书流动服务点等提供服务，最大限度地满足读者的</w:t>
      </w:r>
      <w:r>
        <w:rPr>
          <w:rFonts w:hint="eastAsia" w:ascii="仿宋" w:hAnsi="仿宋" w:eastAsia="仿宋" w:cs="仿宋"/>
          <w:bCs/>
        </w:rPr>
        <w:t>需求</w:t>
      </w:r>
      <w:r>
        <w:rPr>
          <w:rFonts w:hint="eastAsia" w:ascii="仿宋" w:hAnsi="仿宋" w:eastAsia="仿宋" w:cs="仿宋"/>
          <w:bCs/>
          <w:lang w:eastAsia="zh-CN"/>
        </w:rPr>
        <w:t>；</w:t>
      </w:r>
      <w:r>
        <w:rPr>
          <w:rFonts w:hint="eastAsia" w:ascii="仿宋" w:hAnsi="仿宋" w:eastAsia="仿宋" w:cs="仿宋"/>
          <w:bCs/>
        </w:rPr>
        <w:t>负责全州公共图书馆、文化站、文化信息资源共享工程、数字图书馆推广工程、分馆、图书流动点的协作协调工作，发</w:t>
      </w:r>
      <w:r>
        <w:rPr>
          <w:rFonts w:hint="eastAsia" w:ascii="仿宋" w:hAnsi="仿宋" w:eastAsia="仿宋" w:cs="仿宋"/>
          <w:bCs/>
          <w:sz w:val="32"/>
          <w:szCs w:val="32"/>
        </w:rPr>
        <w:t>挥州图书馆的桥梁作用</w:t>
      </w:r>
      <w:r>
        <w:rPr>
          <w:rFonts w:hint="eastAsia" w:ascii="仿宋" w:hAnsi="仿宋" w:eastAsia="仿宋" w:cs="仿宋"/>
          <w:bCs/>
          <w:sz w:val="32"/>
          <w:szCs w:val="32"/>
          <w:lang w:eastAsia="zh-CN"/>
        </w:rPr>
        <w:t>；</w:t>
      </w:r>
      <w:r>
        <w:rPr>
          <w:rFonts w:hint="eastAsia" w:ascii="仿宋" w:hAnsi="仿宋" w:eastAsia="仿宋" w:cs="仿宋"/>
          <w:bCs/>
          <w:sz w:val="32"/>
          <w:szCs w:val="32"/>
        </w:rPr>
        <w:t>组织开展州、县、乡（镇）、村（居）委会图书馆互动交流，推动全州图书馆事业的繁荣发展</w:t>
      </w:r>
      <w:r>
        <w:rPr>
          <w:rFonts w:hint="eastAsia" w:ascii="仿宋" w:hAnsi="仿宋" w:eastAsia="仿宋" w:cs="仿宋"/>
          <w:bCs/>
          <w:sz w:val="32"/>
          <w:szCs w:val="32"/>
          <w:lang w:eastAsia="zh-CN"/>
        </w:rPr>
        <w:t>；</w:t>
      </w:r>
      <w:r>
        <w:rPr>
          <w:rFonts w:hint="eastAsia" w:ascii="仿宋" w:hAnsi="仿宋" w:eastAsia="仿宋" w:cs="仿宋"/>
          <w:bCs/>
          <w:sz w:val="32"/>
          <w:szCs w:val="32"/>
        </w:rPr>
        <w:t>负责组织全州图书馆、文化信息资源共享工程、文化站、农家书屋专业人员的培训辅导工作</w:t>
      </w:r>
      <w:r>
        <w:rPr>
          <w:rFonts w:hint="eastAsia" w:ascii="仿宋" w:hAnsi="仿宋" w:eastAsia="仿宋" w:cs="仿宋"/>
          <w:bCs/>
          <w:sz w:val="32"/>
          <w:szCs w:val="32"/>
          <w:lang w:eastAsia="zh-CN"/>
        </w:rPr>
        <w:t>；</w:t>
      </w:r>
      <w:r>
        <w:rPr>
          <w:rFonts w:hint="eastAsia" w:ascii="仿宋" w:hAnsi="仿宋" w:eastAsia="仿宋" w:cs="仿宋"/>
          <w:bCs/>
          <w:sz w:val="32"/>
          <w:szCs w:val="32"/>
        </w:rPr>
        <w:t>负责搞好全州文化信息资源调研，征集、加工、整合、配送</w:t>
      </w:r>
      <w:r>
        <w:rPr>
          <w:rFonts w:hint="eastAsia" w:ascii="仿宋" w:hAnsi="仿宋" w:eastAsia="仿宋" w:cs="仿宋"/>
          <w:bCs/>
        </w:rPr>
        <w:t>数字文化信息资源，建设全州文化信息资源数据库，承担全州共享工程的日常运行、维护、培训等专业技术工作</w:t>
      </w:r>
      <w:r>
        <w:rPr>
          <w:rFonts w:hint="eastAsia" w:ascii="仿宋" w:hAnsi="仿宋" w:eastAsia="仿宋" w:cs="仿宋"/>
          <w:bCs/>
          <w:lang w:eastAsia="zh-CN"/>
        </w:rPr>
        <w:t>；</w:t>
      </w:r>
      <w:r>
        <w:rPr>
          <w:rFonts w:hint="eastAsia" w:ascii="仿宋" w:hAnsi="仿宋" w:eastAsia="仿宋" w:cs="仿宋"/>
          <w:bCs/>
        </w:rPr>
        <w:t>协助上级做好其他各项工作</w:t>
      </w:r>
      <w:r>
        <w:rPr>
          <w:rFonts w:hint="eastAsia" w:ascii="仿宋" w:hAnsi="仿宋" w:eastAsia="仿宋" w:cs="仿宋"/>
          <w:bCs/>
          <w:lang w:eastAsia="zh-CN"/>
        </w:rPr>
        <w:t>；</w:t>
      </w:r>
      <w:r>
        <w:rPr>
          <w:rFonts w:hint="eastAsia" w:ascii="仿宋" w:hAnsi="仿宋" w:eastAsia="仿宋" w:cs="仿宋"/>
          <w:color w:val="000000"/>
          <w:kern w:val="0"/>
          <w:sz w:val="32"/>
          <w:szCs w:val="32"/>
        </w:rPr>
        <w:t>开展对外社会文化交流，弘扬中华民族优秀文化。</w:t>
      </w:r>
    </w:p>
    <w:p>
      <w:pPr>
        <w:pStyle w:val="11"/>
        <w:spacing w:line="360" w:lineRule="auto"/>
        <w:ind w:firstLine="0"/>
        <w:jc w:val="left"/>
        <w:rPr>
          <w:rFonts w:hint="eastAsia" w:ascii="仿宋" w:hAnsi="仿宋" w:eastAsia="仿宋" w:cs="仿宋"/>
          <w:b/>
          <w:bCs/>
          <w:sz w:val="32"/>
          <w:szCs w:val="32"/>
        </w:rPr>
      </w:pPr>
      <w:r>
        <w:rPr>
          <w:rFonts w:hint="eastAsia" w:ascii="仿宋" w:hAnsi="仿宋" w:eastAsia="仿宋" w:cs="仿宋"/>
          <w:b/>
          <w:bCs/>
          <w:color w:val="000000"/>
          <w:sz w:val="32"/>
          <w:szCs w:val="32"/>
        </w:rPr>
        <w:t>(二)201</w:t>
      </w:r>
      <w:r>
        <w:rPr>
          <w:rFonts w:hint="eastAsia" w:ascii="仿宋" w:hAnsi="仿宋" w:eastAsia="仿宋" w:cs="仿宋"/>
          <w:b/>
          <w:bCs/>
          <w:color w:val="000000"/>
          <w:sz w:val="32"/>
          <w:szCs w:val="32"/>
          <w:lang w:val="en-US" w:eastAsia="zh-CN"/>
        </w:rPr>
        <w:t>9</w:t>
      </w:r>
      <w:r>
        <w:rPr>
          <w:rFonts w:hint="eastAsia" w:ascii="仿宋" w:hAnsi="仿宋" w:eastAsia="仿宋" w:cs="仿宋"/>
          <w:b/>
          <w:bCs/>
          <w:color w:val="000000"/>
          <w:sz w:val="32"/>
          <w:szCs w:val="32"/>
        </w:rPr>
        <w:t>年度重点工作</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（一）“全民阅读”系列活动</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季度：春节前夕，到妥洛村开展“书香进万家”文化惠民活动，免费写送春联300余副。向那米组活动室捐赠种植、养殖、法律、党建、电气化、文学等类目图书400册，同时组织村民播放科普节目，进一步开展文化帮扶工作。在迪庆州森林消防大队、武警云南总队机动第二支队组织开展“中国梦·高原情”—书香进万家新春公益文化活动，为迪庆州森林消防大队交流补充图书432册、武警云南总队机动第二支队1226册，活动共计500余官兵参与。</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二季度： 4·23 “世界读书日”“倡导全民阅读·推进学习型社会建设”主题系列活动启动仪式在香格里拉市红太阳广场及图书馆内隆重举行，活动共计3000多人参与。5月，举办喜迎新中国成立70周年——“我和我的祖国”迪庆州香格里拉第十一届“读书杯”中小学生作文竞赛暨幼儿书画展活动，共有26所学校参赛，参赛学生7000多人，获奖作文及幼儿书画作品共计269篇，其中小学组106篇、初中组55篇、高中组38篇；幼儿书画作品70幅。与此同时，在图书馆内同步展出“迪庆·记忆”图片展、“秦风秦地”图文展览。 5月份，结合文媒融合“全民阅读”服务创新推广，联合迪庆州广播电视台，组织策划推出1期“书香·香格里拉”广播电视节目，旨在推荐本土优秀文化，点击率过万。6月，武警机动第二支队与迪庆州图书馆组织开展“时代新人说——我和祖国共成长”演讲比赛。共评出一等奖1名、二等奖2名、三等奖3名，鼓励奖5名。</w:t>
      </w:r>
    </w:p>
    <w:p>
      <w:pPr>
        <w:ind w:firstLine="480" w:firstLineChars="150"/>
        <w:rPr>
          <w:rFonts w:hint="eastAsia" w:ascii="仿宋" w:hAnsi="仿宋" w:eastAsia="仿宋" w:cs="仿宋"/>
          <w:kern w:val="0"/>
          <w:sz w:val="32"/>
          <w:szCs w:val="32"/>
        </w:rPr>
      </w:pPr>
      <w:r>
        <w:rPr>
          <w:rFonts w:hint="eastAsia" w:ascii="仿宋" w:hAnsi="仿宋" w:eastAsia="仿宋" w:cs="仿宋"/>
          <w:sz w:val="32"/>
          <w:szCs w:val="32"/>
        </w:rPr>
        <w:t>三季度：9月，组织以“礼赞新中国 赞美新时代”为主题的庆祝“新中国成立70周年·金秋诗会”活动，活动在州森林消防大队分馆举行，100多名老中青幼各阶层读者欢聚一堂，以朗诵诗歌的方式庆祝新中国成立70周年，欢度中秋佳节。9月7日，</w:t>
      </w:r>
      <w:r>
        <w:rPr>
          <w:rFonts w:hint="eastAsia" w:ascii="仿宋" w:hAnsi="仿宋" w:eastAsia="仿宋" w:cs="仿宋"/>
          <w:kern w:val="0"/>
          <w:sz w:val="32"/>
          <w:szCs w:val="32"/>
        </w:rPr>
        <w:t>由国家文旅部、国家文物局主办，国家图书馆（国家古籍保护中心、国家典籍博物馆）承办，全国高等院校古籍整理研究工作委员会及各参展单位协办的“中华传统文化典籍保护传承大展”，迪庆“纳格拉洞藏经”荣登国家典籍博物馆展出。</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四季度：10月，结合局党委开展的“十一文旅周”活动，“册府千华——纳格拉洞藏经修复成果”在独克宗古城月光广场面向社会公开展出，展览共计3000人参与；“不忘初心、牢记使命”主题教育暨“国学经典诵读”活动三期分别在尼西乡小学、香格里拉中学、香格里拉幼儿园二分园举行，共计1300多名学生参与朗诵和表演；10月28日，在金江镇新建村瓦金街一组举办“不忘初心、牢记使命”主题教育暨“书香敬老”系列活动，活动内容为健康咨询、免费体检、“不忘初心、牢记使命”主题教育宣讲活动、发放“册府千华—纳格拉洞藏经”修复成果展宣传折页、阅读交流，活动共计50多名老年人参加。</w:t>
      </w:r>
    </w:p>
    <w:p>
      <w:pPr>
        <w:spacing w:line="54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-12月份，组织开展馆内群体性读书活动12次。全年馆内播放优秀电影和知识讲座5场，开展5期青少年优秀电影播放活动，分别播放红色经典电影等，共计观影人数243人。全年组织幼儿、小学生、部队官兵、农民工、老年人等群体，积极开展全民阅读，共建书香迪庆。</w:t>
      </w:r>
    </w:p>
    <w:p>
      <w:pPr>
        <w:numPr>
          <w:ilvl w:val="0"/>
          <w:numId w:val="1"/>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法人治理结构改革工作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加强我州公共文化服务体系建设，图书馆法人治理结构改革，推进基本公共文化服务标准化、规范化、均等化建设。根据《关于深入推进云南省公共文化机构法人治理结构改革的实施方案》的通知（云文发〔2018〕1号）文件精神。8月23日，迪庆州图书馆组建迪庆州图书馆法人治理结构改革第一届理事，召开迪庆州图书馆法人治理结构改革第一届理事会全体会议。理事会通过政府、企业、专家、社会读者的参与共同促进迪庆州图书馆事业的发展。会议通过了迪庆州图书馆理事会章程。同时按照省、州文旅厅的要求，分别在独克宗古城“花筑</w:t>
      </w:r>
      <w:r>
        <w:rPr>
          <w:rFonts w:hint="eastAsia" w:ascii="仿宋" w:hAnsi="仿宋" w:eastAsia="仿宋" w:cs="仿宋"/>
          <w:b/>
          <w:bCs/>
          <w:sz w:val="32"/>
          <w:szCs w:val="32"/>
        </w:rPr>
        <w:t>·</w:t>
      </w:r>
      <w:r>
        <w:rPr>
          <w:rFonts w:hint="eastAsia" w:ascii="仿宋" w:hAnsi="仿宋" w:eastAsia="仿宋" w:cs="仿宋"/>
          <w:sz w:val="32"/>
          <w:szCs w:val="32"/>
        </w:rPr>
        <w:t>心中日月别苑”、“古城商会”、巴拉格宗景区设立3个书坊，共配置1530册图书。根据改革任务要求，11月6日—9日，在维西县保和镇政府举办迪庆州县级文化馆图书馆总分管制建设、基层综合性文化服务中心建设暨2019年全州文化馆（站）业务骨干培训班。全州29个乡镇100多名文化业务骨干参加培训。</w:t>
      </w:r>
    </w:p>
    <w:p>
      <w:pPr>
        <w:numPr>
          <w:ilvl w:val="0"/>
          <w:numId w:val="2"/>
        </w:numPr>
        <w:rPr>
          <w:rFonts w:hint="eastAsia" w:ascii="仿宋" w:hAnsi="仿宋" w:eastAsia="仿宋" w:cs="仿宋"/>
          <w:sz w:val="32"/>
          <w:szCs w:val="32"/>
        </w:rPr>
      </w:pPr>
      <w:r>
        <w:rPr>
          <w:rFonts w:hint="eastAsia" w:ascii="仿宋" w:hAnsi="仿宋" w:eastAsia="仿宋" w:cs="仿宋"/>
          <w:sz w:val="32"/>
          <w:szCs w:val="32"/>
        </w:rPr>
        <w:t xml:space="preserve">“扫黑除恶”专项工作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按照《迪庆州图书馆扫黑除恶专项治理工作方案》，州图书馆、馆党支部持续推进扫黑除恶专项斗争宣传工作 。在图书馆大楼入口处张贴《迪庆州文化和旅游局致迪庆州文旅行业的一封公开信》、《迪庆州图书馆扫黑除恶专项斗争告知书》；在图书馆大门口、红太阳广场周边悬挂扫黑除恶宣传标语11幅；在图书馆小广场设扫黑除恶宣传栏1期；在图书馆一楼大厅设扫黑除恶意见箱，公示栏设扫黑除恶举报电话、电子邮箱；4·23“世界读书日”活动当天，在红太阳广场向社会群众、参加活动代表现场发放扫黑除恶宣传册500份；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（四）脱贫攻坚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脱贫攻坚工作要求，组织全馆职工进村入户开展回访和帮扶两次；开展文化帮扶，“世界读书日”组织社会企业开展图书、文具等扶贫物资募捐，全馆职工扶贫募捐6300元；为那米二组活动配送科普类图书400册；与那米一二组村民共同开展“不忘初心、牢记使命”主题教育，扶贫扶志，共同攻坚克难决胜脱贫攻坚。</w:t>
      </w:r>
    </w:p>
    <w:p>
      <w:pPr>
        <w:numPr>
          <w:ilvl w:val="0"/>
          <w:numId w:val="2"/>
        </w:numPr>
        <w:rPr>
          <w:rFonts w:hint="eastAsia" w:ascii="仿宋" w:hAnsi="仿宋" w:eastAsia="仿宋" w:cs="仿宋"/>
          <w:sz w:val="32"/>
          <w:szCs w:val="32"/>
        </w:rPr>
      </w:pPr>
      <w:r>
        <w:rPr>
          <w:rFonts w:hint="eastAsia" w:ascii="仿宋" w:hAnsi="仿宋" w:eastAsia="仿宋" w:cs="仿宋"/>
          <w:bCs/>
          <w:sz w:val="32"/>
          <w:szCs w:val="32"/>
        </w:rPr>
        <w:t xml:space="preserve">古籍工作 </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启动“纳格拉洞藏经”整理工作，完成“纳格拉洞藏经”修复成果图册初稿，同时向本级财政、州委宣传部积极申报项目，争取项目资金；9月份，“纳格拉洞藏经”部分修复成果在“中华传统文化典籍保护传承大展”展出；除做好馆内展出外，“纳格拉洞藏经”国庆期间在月光广场向海内外游客公开展示；11月13日至15日，云南省图书馆建馆110周年系列活动开展期间，省图举办了“公共图书馆法人治理结构改革”暨“少数民族古籍保护”学术论坛、“中国古籍保护协会少数民族古籍保护专业委员会”工作会议，迪庆香格里拉“纳格拉洞藏经”修复成果再次参展，迪庆州图书馆代表在“少数民族古籍保护”论坛上作了专题发言。同时拟在2020年元旦期间在州博物馆专题展出，以服务于全州文旅事业的发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（五）物资争取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从国家图书馆争取到图书10000册、期刊10000册，州文联400册，中国光华科技基金会价值60000元的图书，迪庆州新华书店有限责任公司价值5000元的图书和物资，昆明新知集团有限公司香格里拉市分公司价值5000元的图书和物资，迪庆顺腾文化发展有限公司价值3500元的图书和物资。</w:t>
      </w:r>
    </w:p>
    <w:p>
      <w:pPr>
        <w:pStyle w:val="11"/>
        <w:spacing w:line="360" w:lineRule="auto"/>
        <w:ind w:firstLine="0"/>
        <w:jc w:val="left"/>
        <w:rPr>
          <w:rFonts w:hint="eastAsia" w:ascii="仿宋" w:hAnsi="仿宋" w:eastAsia="仿宋" w:cs="仿宋"/>
          <w:b/>
          <w:bCs/>
          <w:sz w:val="32"/>
          <w:szCs w:val="32"/>
        </w:rPr>
      </w:pPr>
      <w:r>
        <w:rPr>
          <w:rFonts w:hint="eastAsia" w:ascii="仿宋" w:hAnsi="仿宋" w:eastAsia="仿宋" w:cs="仿宋"/>
          <w:b/>
          <w:bCs/>
          <w:color w:val="000000"/>
          <w:sz w:val="32"/>
          <w:szCs w:val="32"/>
        </w:rPr>
        <w:t>(三)201</w:t>
      </w:r>
      <w:r>
        <w:rPr>
          <w:rFonts w:hint="eastAsia" w:ascii="仿宋" w:hAnsi="仿宋" w:eastAsia="仿宋" w:cs="仿宋"/>
          <w:b/>
          <w:bCs/>
          <w:color w:val="000000"/>
          <w:sz w:val="32"/>
          <w:szCs w:val="32"/>
          <w:lang w:val="en-US" w:eastAsia="zh-CN"/>
        </w:rPr>
        <w:t>9</w:t>
      </w:r>
      <w:r>
        <w:rPr>
          <w:rFonts w:hint="eastAsia" w:ascii="仿宋" w:hAnsi="仿宋" w:eastAsia="仿宋" w:cs="仿宋"/>
          <w:b/>
          <w:bCs/>
          <w:color w:val="000000"/>
          <w:sz w:val="32"/>
          <w:szCs w:val="32"/>
        </w:rPr>
        <w:t>年度预算收支总额、预算执行情况</w:t>
      </w:r>
    </w:p>
    <w:p>
      <w:pPr>
        <w:pStyle w:val="11"/>
        <w:spacing w:line="360" w:lineRule="auto"/>
        <w:ind w:firstLine="680"/>
        <w:rPr>
          <w:rFonts w:hint="eastAsia" w:ascii="仿宋" w:hAnsi="仿宋" w:eastAsia="仿宋" w:cs="仿宋"/>
        </w:rPr>
      </w:pPr>
      <w:r>
        <w:rPr>
          <w:rFonts w:hint="eastAsia" w:ascii="仿宋" w:hAnsi="仿宋" w:eastAsia="仿宋" w:cs="仿宋"/>
          <w:color w:val="000000"/>
          <w:lang w:eastAsia="zh-CN"/>
        </w:rPr>
        <w:t>迪庆藏族自治州图书馆</w:t>
      </w:r>
      <w:r>
        <w:rPr>
          <w:rFonts w:hint="eastAsia" w:ascii="仿宋" w:hAnsi="仿宋" w:eastAsia="仿宋" w:cs="仿宋"/>
          <w:color w:val="000000"/>
        </w:rPr>
        <w:t>部门资金来源于</w:t>
      </w:r>
      <w:r>
        <w:rPr>
          <w:rFonts w:hint="eastAsia" w:ascii="仿宋" w:hAnsi="仿宋" w:eastAsia="仿宋" w:cs="仿宋"/>
          <w:color w:val="000000"/>
          <w:lang w:eastAsia="zh-CN"/>
        </w:rPr>
        <w:t>州</w:t>
      </w:r>
      <w:r>
        <w:rPr>
          <w:rFonts w:hint="eastAsia" w:ascii="仿宋" w:hAnsi="仿宋" w:eastAsia="仿宋" w:cs="仿宋"/>
          <w:color w:val="000000"/>
        </w:rPr>
        <w:t>级财政预算资金。201</w:t>
      </w:r>
      <w:r>
        <w:rPr>
          <w:rFonts w:hint="eastAsia" w:ascii="仿宋" w:hAnsi="仿宋" w:eastAsia="仿宋" w:cs="仿宋"/>
          <w:color w:val="000000"/>
          <w:lang w:val="en-US" w:eastAsia="zh-CN"/>
        </w:rPr>
        <w:t>9</w:t>
      </w:r>
      <w:r>
        <w:rPr>
          <w:rFonts w:hint="eastAsia" w:ascii="仿宋" w:hAnsi="仿宋" w:eastAsia="仿宋" w:cs="仿宋"/>
          <w:color w:val="000000"/>
        </w:rPr>
        <w:t xml:space="preserve"> 年部门预算总收入</w:t>
      </w:r>
      <w:r>
        <w:rPr>
          <w:rFonts w:hint="eastAsia" w:ascii="仿宋" w:hAnsi="仿宋" w:eastAsia="仿宋" w:cs="仿宋"/>
          <w:color w:val="000000"/>
          <w:lang w:val="en-US" w:eastAsia="zh-CN" w:bidi="en-US"/>
        </w:rPr>
        <w:t>600.84</w:t>
      </w:r>
      <w:r>
        <w:rPr>
          <w:rFonts w:hint="eastAsia" w:ascii="仿宋" w:hAnsi="仿宋" w:eastAsia="仿宋" w:cs="仿宋"/>
          <w:color w:val="000000"/>
        </w:rPr>
        <w:t>万元。201</w:t>
      </w:r>
      <w:r>
        <w:rPr>
          <w:rFonts w:hint="eastAsia" w:ascii="仿宋" w:hAnsi="仿宋" w:eastAsia="仿宋" w:cs="仿宋"/>
          <w:color w:val="000000"/>
          <w:lang w:val="en-US" w:eastAsia="zh-CN"/>
        </w:rPr>
        <w:t>9</w:t>
      </w:r>
      <w:r>
        <w:rPr>
          <w:rFonts w:hint="eastAsia" w:ascii="仿宋" w:hAnsi="仿宋" w:eastAsia="仿宋" w:cs="仿宋"/>
          <w:color w:val="000000"/>
        </w:rPr>
        <w:t>年部门预算总支出</w:t>
      </w:r>
      <w:r>
        <w:rPr>
          <w:rFonts w:hint="eastAsia" w:ascii="仿宋" w:hAnsi="仿宋" w:eastAsia="仿宋" w:cs="仿宋"/>
          <w:color w:val="000000"/>
          <w:lang w:val="en-US" w:eastAsia="zh-CN" w:bidi="en-US"/>
        </w:rPr>
        <w:t>578.86</w:t>
      </w:r>
      <w:r>
        <w:rPr>
          <w:rFonts w:hint="eastAsia" w:ascii="仿宋" w:hAnsi="仿宋" w:eastAsia="仿宋" w:cs="仿宋"/>
          <w:color w:val="000000"/>
        </w:rPr>
        <w:t>万元，其中：基本支出</w:t>
      </w:r>
      <w:r>
        <w:rPr>
          <w:rFonts w:hint="eastAsia" w:ascii="仿宋" w:hAnsi="仿宋" w:eastAsia="仿宋" w:cs="仿宋"/>
          <w:color w:val="000000"/>
          <w:lang w:val="en-US" w:eastAsia="zh-CN"/>
        </w:rPr>
        <w:t>475.58</w:t>
      </w:r>
      <w:r>
        <w:rPr>
          <w:rFonts w:hint="eastAsia" w:ascii="仿宋" w:hAnsi="仿宋" w:eastAsia="仿宋" w:cs="仿宋"/>
          <w:color w:val="000000"/>
        </w:rPr>
        <w:t>万元，占总支出的</w:t>
      </w:r>
      <w:r>
        <w:rPr>
          <w:rFonts w:hint="eastAsia" w:ascii="仿宋" w:hAnsi="仿宋" w:eastAsia="仿宋" w:cs="仿宋"/>
          <w:color w:val="000000"/>
          <w:lang w:val="en-US" w:eastAsia="zh-CN"/>
        </w:rPr>
        <w:t>82</w:t>
      </w:r>
      <w:r>
        <w:rPr>
          <w:rFonts w:hint="eastAsia" w:ascii="仿宋" w:hAnsi="仿宋" w:eastAsia="仿宋" w:cs="仿宋"/>
          <w:color w:val="000000"/>
        </w:rPr>
        <w:t>%,项目支出</w:t>
      </w:r>
      <w:r>
        <w:rPr>
          <w:rFonts w:hint="eastAsia" w:ascii="仿宋" w:hAnsi="仿宋" w:eastAsia="仿宋" w:cs="仿宋"/>
          <w:color w:val="000000"/>
          <w:lang w:val="en-US" w:eastAsia="zh-CN" w:bidi="en-US"/>
        </w:rPr>
        <w:t>103.28</w:t>
      </w:r>
      <w:r>
        <w:rPr>
          <w:rFonts w:hint="eastAsia" w:ascii="仿宋" w:hAnsi="仿宋" w:eastAsia="仿宋" w:cs="仿宋"/>
          <w:color w:val="000000"/>
        </w:rPr>
        <w:t>万元，占总支出的</w:t>
      </w:r>
      <w:r>
        <w:rPr>
          <w:rFonts w:hint="eastAsia" w:ascii="仿宋" w:hAnsi="仿宋" w:eastAsia="仿宋" w:cs="仿宋"/>
          <w:color w:val="000000"/>
          <w:lang w:val="en-US" w:eastAsia="zh-CN" w:bidi="en-US"/>
        </w:rPr>
        <w:t>18</w:t>
      </w:r>
      <w:r>
        <w:rPr>
          <w:rFonts w:hint="eastAsia" w:ascii="仿宋" w:hAnsi="仿宋" w:eastAsia="仿宋" w:cs="仿宋"/>
          <w:color w:val="000000"/>
        </w:rPr>
        <w:t>%。</w:t>
      </w:r>
    </w:p>
    <w:p>
      <w:pPr>
        <w:pStyle w:val="11"/>
        <w:tabs>
          <w:tab w:val="left" w:pos="634"/>
        </w:tabs>
        <w:spacing w:line="360" w:lineRule="auto"/>
        <w:ind w:firstLine="0"/>
        <w:rPr>
          <w:rFonts w:hint="eastAsia" w:ascii="仿宋" w:hAnsi="仿宋" w:eastAsia="仿宋" w:cs="仿宋"/>
          <w:color w:val="000000"/>
        </w:rPr>
      </w:pPr>
      <w:bookmarkStart w:id="1" w:name="bookmark10"/>
    </w:p>
    <w:p>
      <w:pPr>
        <w:pStyle w:val="11"/>
        <w:tabs>
          <w:tab w:val="left" w:pos="634"/>
        </w:tabs>
        <w:spacing w:line="360" w:lineRule="auto"/>
        <w:ind w:firstLine="0"/>
        <w:rPr>
          <w:rFonts w:hint="eastAsia" w:ascii="仿宋" w:hAnsi="仿宋" w:eastAsia="仿宋" w:cs="仿宋"/>
          <w:b/>
          <w:bCs/>
          <w:sz w:val="36"/>
          <w:szCs w:val="36"/>
        </w:rPr>
      </w:pPr>
      <w:r>
        <w:rPr>
          <w:rFonts w:hint="eastAsia" w:ascii="仿宋" w:hAnsi="仿宋" w:eastAsia="仿宋" w:cs="仿宋"/>
          <w:b/>
          <w:bCs/>
          <w:color w:val="000000"/>
          <w:sz w:val="36"/>
          <w:szCs w:val="36"/>
        </w:rPr>
        <w:t>二</w:t>
      </w:r>
      <w:bookmarkEnd w:id="1"/>
      <w:r>
        <w:rPr>
          <w:rFonts w:hint="eastAsia" w:ascii="仿宋" w:hAnsi="仿宋" w:eastAsia="仿宋" w:cs="仿宋"/>
          <w:b/>
          <w:bCs/>
          <w:color w:val="000000"/>
          <w:sz w:val="36"/>
          <w:szCs w:val="36"/>
        </w:rPr>
        <w:t>、</w:t>
      </w:r>
      <w:r>
        <w:rPr>
          <w:rFonts w:hint="eastAsia" w:ascii="仿宋" w:hAnsi="仿宋" w:eastAsia="仿宋" w:cs="仿宋"/>
          <w:b/>
          <w:bCs/>
          <w:color w:val="000000"/>
          <w:sz w:val="36"/>
          <w:szCs w:val="36"/>
        </w:rPr>
        <w:tab/>
      </w:r>
      <w:r>
        <w:rPr>
          <w:rFonts w:hint="eastAsia" w:ascii="仿宋" w:hAnsi="仿宋" w:eastAsia="仿宋" w:cs="仿宋"/>
          <w:b/>
          <w:bCs/>
          <w:color w:val="000000"/>
          <w:sz w:val="36"/>
          <w:szCs w:val="36"/>
        </w:rPr>
        <w:t>评价结论及绩效分析</w:t>
      </w:r>
    </w:p>
    <w:p>
      <w:pPr>
        <w:pStyle w:val="11"/>
        <w:spacing w:line="360" w:lineRule="auto"/>
        <w:ind w:firstLine="680"/>
        <w:rPr>
          <w:rFonts w:hint="eastAsia" w:ascii="仿宋" w:hAnsi="仿宋" w:eastAsia="仿宋" w:cs="仿宋"/>
        </w:rPr>
      </w:pPr>
      <w:r>
        <w:rPr>
          <w:rFonts w:hint="eastAsia" w:ascii="仿宋" w:hAnsi="仿宋" w:eastAsia="仿宋" w:cs="仿宋"/>
          <w:color w:val="000000"/>
          <w:lang w:eastAsia="zh-CN"/>
        </w:rPr>
        <w:t>迪庆藏族自治州图书馆</w:t>
      </w:r>
      <w:r>
        <w:rPr>
          <w:rFonts w:hint="eastAsia" w:ascii="仿宋" w:hAnsi="仿宋" w:eastAsia="仿宋" w:cs="仿宋"/>
          <w:color w:val="000000"/>
        </w:rPr>
        <w:t>非常重视绩效评价工作，严格按照国家的法律法规加强绩效管理，不断完善内控制度，取得了良好的预算执行效果，同时，全体干部职工共同努力，较好的完成了年初制定的各项目标工作</w:t>
      </w:r>
      <w:r>
        <w:rPr>
          <w:rFonts w:hint="eastAsia" w:ascii="仿宋" w:hAnsi="仿宋" w:eastAsia="仿宋" w:cs="仿宋"/>
          <w:color w:val="000000"/>
          <w:lang w:eastAsia="zh-CN"/>
        </w:rPr>
        <w:t>，完全</w:t>
      </w:r>
      <w:r>
        <w:rPr>
          <w:rFonts w:hint="eastAsia" w:ascii="仿宋" w:hAnsi="仿宋" w:eastAsia="仿宋" w:cs="仿宋"/>
          <w:color w:val="000000"/>
        </w:rPr>
        <w:t>实现了</w:t>
      </w:r>
      <w:r>
        <w:rPr>
          <w:rFonts w:hint="eastAsia" w:ascii="仿宋" w:hAnsi="仿宋" w:eastAsia="仿宋" w:cs="仿宋"/>
          <w:color w:val="000000"/>
          <w:lang w:eastAsia="zh-CN"/>
        </w:rPr>
        <w:t>图书馆免费开放</w:t>
      </w:r>
      <w:r>
        <w:rPr>
          <w:rFonts w:hint="eastAsia" w:ascii="仿宋" w:hAnsi="仿宋" w:eastAsia="仿宋" w:cs="仿宋"/>
          <w:color w:val="000000"/>
        </w:rPr>
        <w:t>。</w:t>
      </w:r>
    </w:p>
    <w:p>
      <w:pPr>
        <w:pStyle w:val="11"/>
        <w:tabs>
          <w:tab w:val="left" w:pos="634"/>
        </w:tabs>
        <w:spacing w:line="360" w:lineRule="auto"/>
        <w:ind w:firstLine="0"/>
        <w:rPr>
          <w:rFonts w:hint="eastAsia" w:ascii="仿宋" w:hAnsi="仿宋" w:eastAsia="仿宋" w:cs="仿宋"/>
          <w:color w:val="000000"/>
        </w:rPr>
      </w:pPr>
      <w:bookmarkStart w:id="2" w:name="bookmark11"/>
    </w:p>
    <w:p>
      <w:pPr>
        <w:pStyle w:val="11"/>
        <w:tabs>
          <w:tab w:val="left" w:pos="634"/>
        </w:tabs>
        <w:spacing w:line="360" w:lineRule="auto"/>
        <w:ind w:firstLine="0"/>
        <w:rPr>
          <w:rFonts w:hint="eastAsia" w:ascii="仿宋" w:hAnsi="仿宋" w:eastAsia="仿宋" w:cs="仿宋"/>
          <w:b/>
          <w:bCs/>
          <w:sz w:val="36"/>
          <w:szCs w:val="36"/>
        </w:rPr>
      </w:pPr>
      <w:r>
        <w:rPr>
          <w:rFonts w:hint="eastAsia" w:ascii="仿宋" w:hAnsi="仿宋" w:eastAsia="仿宋" w:cs="仿宋"/>
          <w:b/>
          <w:bCs/>
          <w:color w:val="000000"/>
          <w:sz w:val="36"/>
          <w:szCs w:val="36"/>
        </w:rPr>
        <w:t>三</w:t>
      </w:r>
      <w:bookmarkEnd w:id="2"/>
      <w:r>
        <w:rPr>
          <w:rFonts w:hint="eastAsia" w:ascii="仿宋" w:hAnsi="仿宋" w:eastAsia="仿宋" w:cs="仿宋"/>
          <w:b/>
          <w:bCs/>
          <w:color w:val="000000"/>
          <w:sz w:val="36"/>
          <w:szCs w:val="36"/>
        </w:rPr>
        <w:t>、</w:t>
      </w:r>
      <w:r>
        <w:rPr>
          <w:rFonts w:hint="eastAsia" w:ascii="仿宋" w:hAnsi="仿宋" w:eastAsia="仿宋" w:cs="仿宋"/>
          <w:b/>
          <w:bCs/>
          <w:color w:val="000000"/>
          <w:sz w:val="36"/>
          <w:szCs w:val="36"/>
        </w:rPr>
        <w:tab/>
      </w:r>
      <w:r>
        <w:rPr>
          <w:rFonts w:hint="eastAsia" w:ascii="仿宋" w:hAnsi="仿宋" w:eastAsia="仿宋" w:cs="仿宋"/>
          <w:b/>
          <w:bCs/>
          <w:color w:val="000000"/>
          <w:sz w:val="36"/>
          <w:szCs w:val="36"/>
        </w:rPr>
        <w:t>部门整体支出绩效工作的经验、问题和建议</w:t>
      </w:r>
    </w:p>
    <w:p>
      <w:pPr>
        <w:pStyle w:val="11"/>
        <w:spacing w:line="360" w:lineRule="auto"/>
        <w:rPr>
          <w:rFonts w:hint="eastAsia" w:ascii="仿宋" w:hAnsi="仿宋" w:eastAsia="仿宋" w:cs="仿宋"/>
          <w:b/>
          <w:bCs/>
          <w:sz w:val="32"/>
          <w:szCs w:val="32"/>
        </w:rPr>
      </w:pPr>
      <w:r>
        <w:rPr>
          <w:rFonts w:hint="eastAsia" w:ascii="仿宋" w:hAnsi="仿宋" w:eastAsia="仿宋" w:cs="仿宋"/>
          <w:b/>
          <w:bCs/>
          <w:color w:val="000000"/>
          <w:sz w:val="32"/>
          <w:szCs w:val="32"/>
        </w:rPr>
        <w:t>(―)工作经验</w:t>
      </w:r>
    </w:p>
    <w:p>
      <w:pPr>
        <w:pStyle w:val="11"/>
        <w:tabs>
          <w:tab w:val="left" w:pos="1108"/>
        </w:tabs>
        <w:spacing w:line="360" w:lineRule="auto"/>
        <w:ind w:firstLine="640"/>
        <w:rPr>
          <w:rFonts w:hint="eastAsia" w:ascii="仿宋" w:hAnsi="仿宋" w:eastAsia="仿宋" w:cs="仿宋"/>
          <w:lang w:eastAsia="zh-CN"/>
        </w:rPr>
      </w:pPr>
      <w:bookmarkStart w:id="3" w:name="bookmark12"/>
      <w:r>
        <w:rPr>
          <w:rFonts w:hint="eastAsia" w:ascii="仿宋" w:hAnsi="仿宋" w:eastAsia="仿宋" w:cs="仿宋"/>
          <w:color w:val="000000"/>
        </w:rPr>
        <w:t>1</w:t>
      </w:r>
      <w:bookmarkEnd w:id="3"/>
      <w:r>
        <w:rPr>
          <w:rFonts w:hint="eastAsia" w:ascii="仿宋" w:hAnsi="仿宋" w:eastAsia="仿宋" w:cs="仿宋"/>
          <w:color w:val="000000"/>
        </w:rPr>
        <w:t>、</w:t>
      </w:r>
      <w:r>
        <w:rPr>
          <w:rFonts w:hint="eastAsia" w:ascii="仿宋" w:hAnsi="仿宋" w:eastAsia="仿宋" w:cs="仿宋"/>
          <w:color w:val="000000"/>
        </w:rPr>
        <w:tab/>
      </w:r>
      <w:r>
        <w:rPr>
          <w:rFonts w:hint="eastAsia" w:ascii="仿宋" w:hAnsi="仿宋" w:eastAsia="仿宋" w:cs="仿宋"/>
          <w:color w:val="000000"/>
        </w:rPr>
        <w:t>加强年初预算安排的合理性</w:t>
      </w:r>
      <w:r>
        <w:rPr>
          <w:rFonts w:hint="eastAsia" w:ascii="仿宋" w:hAnsi="仿宋" w:eastAsia="仿宋" w:cs="仿宋"/>
          <w:color w:val="000000"/>
          <w:lang w:eastAsia="zh-CN"/>
        </w:rPr>
        <w:t>。</w:t>
      </w:r>
    </w:p>
    <w:p>
      <w:pPr>
        <w:pStyle w:val="11"/>
        <w:tabs>
          <w:tab w:val="left" w:pos="1108"/>
        </w:tabs>
        <w:spacing w:line="360" w:lineRule="auto"/>
        <w:ind w:firstLine="640"/>
        <w:rPr>
          <w:rFonts w:hint="eastAsia" w:ascii="仿宋" w:hAnsi="仿宋" w:eastAsia="仿宋" w:cs="仿宋"/>
          <w:lang w:eastAsia="zh-CN"/>
        </w:rPr>
        <w:sectPr>
          <w:footerReference r:id="rId11" w:type="first"/>
          <w:footerReference r:id="rId9" w:type="default"/>
          <w:footerReference r:id="rId10" w:type="even"/>
          <w:pgSz w:w="11900" w:h="16840"/>
          <w:pgMar w:top="1901" w:right="1431" w:bottom="2024" w:left="1563" w:header="0" w:footer="3" w:gutter="0"/>
          <w:pgNumType w:start="1"/>
          <w:cols w:space="720" w:num="1"/>
          <w:titlePg/>
          <w:docGrid w:linePitch="360" w:charSpace="0"/>
        </w:sectPr>
      </w:pPr>
      <w:bookmarkStart w:id="4" w:name="bookmark13"/>
      <w:r>
        <w:rPr>
          <w:rFonts w:hint="eastAsia" w:ascii="仿宋" w:hAnsi="仿宋" w:eastAsia="仿宋" w:cs="仿宋"/>
          <w:color w:val="000000"/>
        </w:rPr>
        <w:t>2</w:t>
      </w:r>
      <w:bookmarkEnd w:id="4"/>
      <w:r>
        <w:rPr>
          <w:rFonts w:hint="eastAsia" w:ascii="仿宋" w:hAnsi="仿宋" w:eastAsia="仿宋" w:cs="仿宋"/>
          <w:color w:val="000000"/>
        </w:rPr>
        <w:t>、</w:t>
      </w:r>
      <w:r>
        <w:rPr>
          <w:rFonts w:hint="eastAsia" w:ascii="仿宋" w:hAnsi="仿宋" w:eastAsia="仿宋" w:cs="仿宋"/>
          <w:color w:val="000000"/>
        </w:rPr>
        <w:tab/>
      </w:r>
      <w:r>
        <w:rPr>
          <w:rFonts w:hint="eastAsia" w:ascii="仿宋" w:hAnsi="仿宋" w:eastAsia="仿宋" w:cs="仿宋"/>
          <w:color w:val="000000"/>
        </w:rPr>
        <w:t>实行定期绩效跟踪</w:t>
      </w:r>
      <w:r>
        <w:rPr>
          <w:rFonts w:hint="eastAsia" w:ascii="仿宋" w:hAnsi="仿宋" w:eastAsia="仿宋" w:cs="仿宋"/>
          <w:color w:val="000000"/>
          <w:lang w:eastAsia="zh-CN"/>
        </w:rPr>
        <w:t>。</w:t>
      </w:r>
    </w:p>
    <w:p>
      <w:pPr>
        <w:pStyle w:val="11"/>
        <w:spacing w:line="360" w:lineRule="auto"/>
        <w:ind w:firstLine="620"/>
        <w:jc w:val="left"/>
        <w:rPr>
          <w:rFonts w:hint="eastAsia" w:ascii="仿宋" w:hAnsi="仿宋" w:eastAsia="仿宋" w:cs="仿宋"/>
          <w:lang w:eastAsia="zh-CN"/>
        </w:rPr>
      </w:pPr>
      <w:bookmarkStart w:id="5" w:name="bookmark14"/>
      <w:r>
        <w:rPr>
          <w:rFonts w:hint="eastAsia" w:ascii="仿宋" w:hAnsi="仿宋" w:eastAsia="仿宋" w:cs="仿宋"/>
          <w:color w:val="000000"/>
          <w:lang w:val="zh-CN" w:eastAsia="zh-CN" w:bidi="zh-CN"/>
        </w:rPr>
        <w:t>3</w:t>
      </w:r>
      <w:bookmarkEnd w:id="5"/>
      <w:r>
        <w:rPr>
          <w:rFonts w:hint="eastAsia" w:ascii="仿宋" w:hAnsi="仿宋" w:eastAsia="仿宋" w:cs="仿宋"/>
          <w:color w:val="000000"/>
          <w:lang w:val="zh-CN" w:eastAsia="zh-CN" w:bidi="zh-CN"/>
        </w:rPr>
        <w:t>、</w:t>
      </w:r>
      <w:r>
        <w:rPr>
          <w:rFonts w:hint="eastAsia" w:ascii="仿宋" w:hAnsi="仿宋" w:eastAsia="仿宋" w:cs="仿宋"/>
          <w:color w:val="000000"/>
        </w:rPr>
        <w:t>实行项目具体到</w:t>
      </w:r>
      <w:r>
        <w:rPr>
          <w:rFonts w:hint="eastAsia" w:ascii="仿宋" w:hAnsi="仿宋" w:eastAsia="仿宋" w:cs="仿宋"/>
          <w:color w:val="000000"/>
          <w:lang w:eastAsia="zh-CN"/>
        </w:rPr>
        <w:t>相关部门。</w:t>
      </w:r>
    </w:p>
    <w:p>
      <w:pPr>
        <w:pStyle w:val="11"/>
        <w:tabs>
          <w:tab w:val="left" w:pos="1675"/>
        </w:tabs>
        <w:spacing w:line="360" w:lineRule="auto"/>
        <w:jc w:val="left"/>
        <w:rPr>
          <w:rFonts w:hint="eastAsia" w:ascii="仿宋" w:hAnsi="仿宋" w:eastAsia="仿宋" w:cs="仿宋"/>
          <w:b/>
          <w:bCs/>
          <w:sz w:val="32"/>
          <w:szCs w:val="32"/>
        </w:rPr>
      </w:pPr>
      <w:bookmarkStart w:id="6" w:name="bookmark15"/>
      <w:r>
        <w:rPr>
          <w:rFonts w:hint="eastAsia" w:ascii="仿宋" w:hAnsi="仿宋" w:eastAsia="仿宋" w:cs="仿宋"/>
          <w:b/>
          <w:bCs/>
          <w:color w:val="000000"/>
          <w:sz w:val="32"/>
          <w:szCs w:val="32"/>
        </w:rPr>
        <w:t>（</w:t>
      </w:r>
      <w:bookmarkEnd w:id="6"/>
      <w:r>
        <w:rPr>
          <w:rFonts w:hint="eastAsia" w:ascii="仿宋" w:hAnsi="仿宋" w:eastAsia="仿宋" w:cs="仿宋"/>
          <w:b/>
          <w:bCs/>
          <w:color w:val="000000"/>
          <w:sz w:val="32"/>
          <w:szCs w:val="32"/>
        </w:rPr>
        <w:t>二</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存在的问题</w:t>
      </w:r>
    </w:p>
    <w:p>
      <w:pPr>
        <w:pStyle w:val="11"/>
        <w:tabs>
          <w:tab w:val="left" w:pos="1093"/>
        </w:tabs>
        <w:spacing w:line="360" w:lineRule="auto"/>
        <w:ind w:firstLine="620"/>
        <w:jc w:val="left"/>
        <w:rPr>
          <w:rFonts w:hint="eastAsia" w:ascii="仿宋" w:hAnsi="仿宋" w:eastAsia="仿宋" w:cs="仿宋"/>
        </w:rPr>
      </w:pPr>
      <w:bookmarkStart w:id="7" w:name="bookmark16"/>
      <w:r>
        <w:rPr>
          <w:rFonts w:hint="eastAsia" w:ascii="仿宋" w:hAnsi="仿宋" w:eastAsia="仿宋" w:cs="仿宋"/>
          <w:color w:val="000000"/>
        </w:rPr>
        <w:t>1</w:t>
      </w:r>
      <w:bookmarkEnd w:id="7"/>
      <w:r>
        <w:rPr>
          <w:rFonts w:hint="eastAsia" w:ascii="仿宋" w:hAnsi="仿宋" w:eastAsia="仿宋" w:cs="仿宋"/>
          <w:color w:val="000000"/>
        </w:rPr>
        <w:t>、</w:t>
      </w:r>
      <w:r>
        <w:rPr>
          <w:rFonts w:hint="eastAsia" w:ascii="仿宋" w:hAnsi="仿宋" w:eastAsia="仿宋" w:cs="仿宋"/>
          <w:color w:val="000000"/>
        </w:rPr>
        <w:tab/>
      </w:r>
      <w:r>
        <w:rPr>
          <w:rFonts w:hint="eastAsia" w:ascii="仿宋" w:hAnsi="仿宋" w:eastAsia="仿宋" w:cs="仿宋"/>
          <w:color w:val="000000"/>
        </w:rPr>
        <w:t>预算编制细化程度不足;</w:t>
      </w:r>
    </w:p>
    <w:p>
      <w:pPr>
        <w:pStyle w:val="11"/>
        <w:tabs>
          <w:tab w:val="left" w:pos="1093"/>
        </w:tabs>
        <w:spacing w:line="360" w:lineRule="auto"/>
        <w:ind w:firstLine="620"/>
        <w:jc w:val="left"/>
        <w:rPr>
          <w:rFonts w:hint="eastAsia" w:ascii="仿宋" w:hAnsi="仿宋" w:eastAsia="仿宋" w:cs="仿宋"/>
        </w:rPr>
      </w:pPr>
      <w:bookmarkStart w:id="8" w:name="bookmark17"/>
      <w:r>
        <w:rPr>
          <w:rFonts w:hint="eastAsia" w:ascii="仿宋" w:hAnsi="仿宋" w:eastAsia="仿宋" w:cs="仿宋"/>
          <w:color w:val="000000"/>
        </w:rPr>
        <w:t>2</w:t>
      </w:r>
      <w:bookmarkEnd w:id="8"/>
      <w:r>
        <w:rPr>
          <w:rFonts w:hint="eastAsia" w:ascii="仿宋" w:hAnsi="仿宋" w:eastAsia="仿宋" w:cs="仿宋"/>
          <w:color w:val="000000"/>
        </w:rPr>
        <w:t>、</w:t>
      </w:r>
      <w:r>
        <w:rPr>
          <w:rFonts w:hint="eastAsia" w:ascii="仿宋" w:hAnsi="仿宋" w:eastAsia="仿宋" w:cs="仿宋"/>
          <w:color w:val="000000"/>
        </w:rPr>
        <w:tab/>
      </w:r>
      <w:r>
        <w:rPr>
          <w:rFonts w:hint="eastAsia" w:ascii="仿宋" w:hAnsi="仿宋" w:eastAsia="仿宋" w:cs="仿宋"/>
          <w:color w:val="000000"/>
        </w:rPr>
        <w:t>预算执行控制不严格；</w:t>
      </w:r>
    </w:p>
    <w:p>
      <w:pPr>
        <w:pStyle w:val="11"/>
        <w:tabs>
          <w:tab w:val="left" w:pos="1093"/>
        </w:tabs>
        <w:spacing w:line="360" w:lineRule="auto"/>
        <w:ind w:firstLine="620"/>
        <w:jc w:val="left"/>
        <w:rPr>
          <w:rFonts w:hint="eastAsia" w:ascii="仿宋" w:hAnsi="仿宋" w:eastAsia="仿宋" w:cs="仿宋"/>
        </w:rPr>
      </w:pPr>
      <w:bookmarkStart w:id="9" w:name="bookmark18"/>
      <w:r>
        <w:rPr>
          <w:rFonts w:hint="eastAsia" w:ascii="仿宋" w:hAnsi="仿宋" w:eastAsia="仿宋" w:cs="仿宋"/>
          <w:color w:val="000000"/>
        </w:rPr>
        <w:t>3</w:t>
      </w:r>
      <w:bookmarkEnd w:id="9"/>
      <w:r>
        <w:rPr>
          <w:rFonts w:hint="eastAsia" w:ascii="仿宋" w:hAnsi="仿宋" w:eastAsia="仿宋" w:cs="仿宋"/>
          <w:color w:val="000000"/>
        </w:rPr>
        <w:t>、</w:t>
      </w:r>
      <w:r>
        <w:rPr>
          <w:rFonts w:hint="eastAsia" w:ascii="仿宋" w:hAnsi="仿宋" w:eastAsia="仿宋" w:cs="仿宋"/>
          <w:color w:val="000000"/>
        </w:rPr>
        <w:tab/>
      </w:r>
      <w:r>
        <w:rPr>
          <w:rFonts w:hint="eastAsia" w:ascii="仿宋" w:hAnsi="仿宋" w:eastAsia="仿宋" w:cs="仿宋"/>
          <w:color w:val="000000"/>
        </w:rPr>
        <w:t>预算绩效管理不完善。</w:t>
      </w:r>
    </w:p>
    <w:p>
      <w:pPr>
        <w:pStyle w:val="11"/>
        <w:tabs>
          <w:tab w:val="left" w:pos="1675"/>
        </w:tabs>
        <w:spacing w:line="360" w:lineRule="auto"/>
        <w:jc w:val="left"/>
        <w:rPr>
          <w:rFonts w:hint="eastAsia" w:ascii="仿宋" w:hAnsi="仿宋" w:eastAsia="仿宋" w:cs="仿宋"/>
          <w:b/>
          <w:bCs/>
          <w:sz w:val="32"/>
          <w:szCs w:val="32"/>
        </w:rPr>
      </w:pPr>
      <w:bookmarkStart w:id="10" w:name="bookmark19"/>
      <w:r>
        <w:rPr>
          <w:rFonts w:hint="eastAsia" w:ascii="仿宋" w:hAnsi="仿宋" w:eastAsia="仿宋" w:cs="仿宋"/>
          <w:b/>
          <w:bCs/>
          <w:color w:val="000000"/>
          <w:sz w:val="32"/>
          <w:szCs w:val="32"/>
        </w:rPr>
        <w:t>（</w:t>
      </w:r>
      <w:bookmarkEnd w:id="10"/>
      <w:r>
        <w:rPr>
          <w:rFonts w:hint="eastAsia" w:ascii="仿宋" w:hAnsi="仿宋" w:eastAsia="仿宋" w:cs="仿宋"/>
          <w:b/>
          <w:bCs/>
          <w:color w:val="000000"/>
          <w:sz w:val="32"/>
          <w:szCs w:val="32"/>
        </w:rPr>
        <w:t>三）改进措施及建议</w:t>
      </w:r>
    </w:p>
    <w:p>
      <w:pPr>
        <w:pStyle w:val="11"/>
        <w:tabs>
          <w:tab w:val="left" w:pos="1093"/>
        </w:tabs>
        <w:spacing w:line="360" w:lineRule="auto"/>
        <w:ind w:firstLine="620"/>
        <w:jc w:val="left"/>
        <w:rPr>
          <w:rFonts w:hint="eastAsia" w:ascii="仿宋" w:hAnsi="仿宋" w:eastAsia="仿宋" w:cs="仿宋"/>
          <w:lang w:eastAsia="zh-CN"/>
        </w:rPr>
      </w:pPr>
      <w:bookmarkStart w:id="11" w:name="bookmark20"/>
      <w:r>
        <w:rPr>
          <w:rFonts w:hint="eastAsia" w:ascii="仿宋" w:hAnsi="仿宋" w:eastAsia="仿宋" w:cs="仿宋"/>
          <w:color w:val="000000"/>
        </w:rPr>
        <w:t>1</w:t>
      </w:r>
      <w:bookmarkEnd w:id="11"/>
      <w:r>
        <w:rPr>
          <w:rFonts w:hint="eastAsia" w:ascii="仿宋" w:hAnsi="仿宋" w:eastAsia="仿宋" w:cs="仿宋"/>
          <w:color w:val="000000"/>
        </w:rPr>
        <w:t>、</w:t>
      </w:r>
      <w:r>
        <w:rPr>
          <w:rFonts w:hint="eastAsia" w:ascii="仿宋" w:hAnsi="仿宋" w:eastAsia="仿宋" w:cs="仿宋"/>
          <w:color w:val="000000"/>
        </w:rPr>
        <w:tab/>
      </w:r>
      <w:r>
        <w:rPr>
          <w:rFonts w:hint="eastAsia" w:ascii="仿宋" w:hAnsi="仿宋" w:eastAsia="仿宋" w:cs="仿宋"/>
          <w:color w:val="000000"/>
        </w:rPr>
        <w:t>加强预算编制的合理性</w:t>
      </w:r>
      <w:r>
        <w:rPr>
          <w:rFonts w:hint="eastAsia" w:ascii="仿宋" w:hAnsi="仿宋" w:eastAsia="仿宋" w:cs="仿宋"/>
          <w:color w:val="000000"/>
          <w:lang w:eastAsia="zh-CN"/>
        </w:rPr>
        <w:t>。</w:t>
      </w:r>
    </w:p>
    <w:p>
      <w:pPr>
        <w:pStyle w:val="11"/>
        <w:tabs>
          <w:tab w:val="left" w:pos="1093"/>
        </w:tabs>
        <w:spacing w:line="360" w:lineRule="auto"/>
        <w:ind w:firstLine="620"/>
        <w:jc w:val="left"/>
        <w:rPr>
          <w:rFonts w:hint="eastAsia" w:ascii="仿宋" w:hAnsi="仿宋" w:eastAsia="仿宋" w:cs="仿宋"/>
          <w:lang w:eastAsia="zh-CN"/>
        </w:rPr>
      </w:pPr>
      <w:bookmarkStart w:id="12" w:name="bookmark21"/>
      <w:r>
        <w:rPr>
          <w:rFonts w:hint="eastAsia" w:ascii="仿宋" w:hAnsi="仿宋" w:eastAsia="仿宋" w:cs="仿宋"/>
          <w:color w:val="000000"/>
        </w:rPr>
        <w:t>2</w:t>
      </w:r>
      <w:bookmarkEnd w:id="12"/>
      <w:r>
        <w:rPr>
          <w:rFonts w:hint="eastAsia" w:ascii="仿宋" w:hAnsi="仿宋" w:eastAsia="仿宋" w:cs="仿宋"/>
          <w:color w:val="000000"/>
        </w:rPr>
        <w:t>、</w:t>
      </w:r>
      <w:r>
        <w:rPr>
          <w:rFonts w:hint="eastAsia" w:ascii="仿宋" w:hAnsi="仿宋" w:eastAsia="仿宋" w:cs="仿宋"/>
          <w:color w:val="000000"/>
        </w:rPr>
        <w:tab/>
      </w:r>
      <w:r>
        <w:rPr>
          <w:rFonts w:hint="eastAsia" w:ascii="仿宋" w:hAnsi="仿宋" w:eastAsia="仿宋" w:cs="仿宋"/>
          <w:color w:val="000000"/>
        </w:rPr>
        <w:t>严格控制预算执行</w:t>
      </w:r>
      <w:r>
        <w:rPr>
          <w:rFonts w:hint="eastAsia" w:ascii="仿宋" w:hAnsi="仿宋" w:eastAsia="仿宋" w:cs="仿宋"/>
          <w:color w:val="000000"/>
          <w:lang w:eastAsia="zh-CN"/>
        </w:rPr>
        <w:t>。</w:t>
      </w:r>
    </w:p>
    <w:p>
      <w:pPr>
        <w:pStyle w:val="11"/>
        <w:tabs>
          <w:tab w:val="left" w:pos="1093"/>
        </w:tabs>
        <w:spacing w:line="360" w:lineRule="auto"/>
        <w:ind w:firstLine="620"/>
        <w:jc w:val="left"/>
        <w:rPr>
          <w:rFonts w:hint="eastAsia" w:ascii="仿宋" w:hAnsi="仿宋" w:eastAsia="仿宋" w:cs="仿宋"/>
          <w:lang w:eastAsia="zh-CN"/>
        </w:rPr>
        <w:sectPr>
          <w:footerReference r:id="rId12" w:type="default"/>
          <w:footerReference r:id="rId13" w:type="even"/>
          <w:type w:val="continuous"/>
          <w:pgSz w:w="11900" w:h="16840"/>
          <w:pgMar w:top="1901" w:right="1431" w:bottom="2024" w:left="1563" w:header="1473" w:footer="3" w:gutter="0"/>
          <w:cols w:space="720" w:num="1"/>
          <w:docGrid w:linePitch="360" w:charSpace="0"/>
        </w:sectPr>
      </w:pPr>
      <w:bookmarkStart w:id="13" w:name="bookmark22"/>
      <w:r>
        <w:rPr>
          <w:rFonts w:hint="eastAsia" w:ascii="仿宋" w:hAnsi="仿宋" w:eastAsia="仿宋" w:cs="仿宋"/>
          <w:color w:val="000000"/>
        </w:rPr>
        <w:t>3</w:t>
      </w:r>
      <w:bookmarkEnd w:id="13"/>
      <w:r>
        <w:rPr>
          <w:rFonts w:hint="eastAsia" w:ascii="仿宋" w:hAnsi="仿宋" w:eastAsia="仿宋" w:cs="仿宋"/>
          <w:color w:val="000000"/>
        </w:rPr>
        <w:t>、</w:t>
      </w:r>
      <w:r>
        <w:rPr>
          <w:rFonts w:hint="eastAsia" w:ascii="仿宋" w:hAnsi="仿宋" w:eastAsia="仿宋" w:cs="仿宋"/>
          <w:color w:val="000000"/>
        </w:rPr>
        <w:tab/>
      </w:r>
      <w:r>
        <w:rPr>
          <w:rFonts w:hint="eastAsia" w:ascii="仿宋" w:hAnsi="仿宋" w:eastAsia="仿宋" w:cs="仿宋"/>
          <w:color w:val="000000"/>
        </w:rPr>
        <w:t>积极开展预算绩效管理</w:t>
      </w:r>
      <w:r>
        <w:rPr>
          <w:rFonts w:hint="eastAsia" w:ascii="仿宋" w:hAnsi="仿宋" w:eastAsia="仿宋" w:cs="仿宋"/>
          <w:color w:val="000000"/>
          <w:lang w:eastAsia="zh-CN"/>
        </w:rPr>
        <w:t>。</w:t>
      </w:r>
    </w:p>
    <w:p>
      <w:pPr>
        <w:spacing w:line="360" w:lineRule="auto"/>
        <w:ind w:firstLine="600" w:firstLineChars="200"/>
        <w:jc w:val="left"/>
        <w:rPr>
          <w:rFonts w:hint="eastAsia" w:ascii="仿宋" w:hAnsi="仿宋" w:eastAsia="仿宋" w:cs="仿宋"/>
          <w:sz w:val="30"/>
          <w:szCs w:val="30"/>
        </w:rPr>
      </w:pPr>
    </w:p>
    <w:p>
      <w:pPr>
        <w:spacing w:line="360" w:lineRule="auto"/>
        <w:ind w:firstLine="883" w:firstLineChars="200"/>
        <w:jc w:val="center"/>
        <w:rPr>
          <w:rFonts w:hint="eastAsia" w:ascii="仿宋" w:hAnsi="仿宋" w:eastAsia="仿宋" w:cs="仿宋"/>
          <w:b/>
          <w:bCs/>
          <w:sz w:val="44"/>
          <w:szCs w:val="44"/>
        </w:rPr>
      </w:pPr>
      <w:r>
        <w:rPr>
          <w:rFonts w:hint="eastAsia" w:ascii="仿宋" w:hAnsi="仿宋" w:eastAsia="仿宋" w:cs="仿宋"/>
          <w:b/>
          <w:bCs/>
          <w:sz w:val="44"/>
          <w:szCs w:val="44"/>
        </w:rPr>
        <w:t>迪庆藏族自治州图书馆2019年度部门</w:t>
      </w:r>
    </w:p>
    <w:p>
      <w:pPr>
        <w:spacing w:line="360" w:lineRule="auto"/>
        <w:ind w:firstLine="883" w:firstLineChars="200"/>
        <w:jc w:val="center"/>
        <w:rPr>
          <w:rFonts w:hint="eastAsia" w:ascii="仿宋" w:hAnsi="仿宋" w:eastAsia="仿宋" w:cs="仿宋"/>
          <w:b/>
          <w:bCs/>
          <w:sz w:val="44"/>
          <w:szCs w:val="44"/>
        </w:rPr>
      </w:pPr>
      <w:r>
        <w:rPr>
          <w:rFonts w:hint="eastAsia" w:ascii="仿宋" w:hAnsi="仿宋" w:eastAsia="仿宋" w:cs="仿宋"/>
          <w:b/>
          <w:bCs/>
          <w:sz w:val="44"/>
          <w:szCs w:val="44"/>
        </w:rPr>
        <w:t>整体支出绩效评价报告</w:t>
      </w:r>
    </w:p>
    <w:p>
      <w:pPr>
        <w:spacing w:line="360" w:lineRule="auto"/>
        <w:ind w:firstLine="723" w:firstLineChars="200"/>
        <w:jc w:val="center"/>
        <w:rPr>
          <w:rFonts w:hint="eastAsia" w:ascii="仿宋" w:hAnsi="仿宋" w:eastAsia="仿宋" w:cs="仿宋"/>
          <w:b/>
          <w:bCs/>
          <w:sz w:val="36"/>
          <w:szCs w:val="36"/>
        </w:rPr>
      </w:pPr>
      <w:r>
        <w:rPr>
          <w:rFonts w:hint="eastAsia" w:ascii="仿宋" w:hAnsi="仿宋" w:eastAsia="仿宋" w:cs="仿宋"/>
          <w:b/>
          <w:bCs/>
          <w:sz w:val="36"/>
          <w:szCs w:val="36"/>
        </w:rPr>
        <w:t>正 文</w:t>
      </w:r>
    </w:p>
    <w:p>
      <w:pPr>
        <w:topLinePunct/>
        <w:spacing w:line="360" w:lineRule="auto"/>
        <w:ind w:firstLine="750" w:firstLineChars="250"/>
        <w:rPr>
          <w:rFonts w:hint="eastAsia" w:ascii="仿宋" w:hAnsi="仿宋" w:eastAsia="仿宋" w:cs="仿宋"/>
          <w:sz w:val="30"/>
          <w:szCs w:val="30"/>
        </w:rPr>
      </w:pPr>
    </w:p>
    <w:p>
      <w:pPr>
        <w:topLinePunct/>
        <w:spacing w:line="360" w:lineRule="auto"/>
        <w:ind w:firstLine="904" w:firstLineChars="250"/>
        <w:rPr>
          <w:rFonts w:hint="eastAsia" w:ascii="仿宋" w:hAnsi="仿宋" w:eastAsia="仿宋" w:cs="仿宋"/>
          <w:b/>
          <w:bCs/>
          <w:sz w:val="36"/>
          <w:szCs w:val="36"/>
        </w:rPr>
      </w:pPr>
      <w:r>
        <w:rPr>
          <w:rFonts w:hint="eastAsia" w:ascii="仿宋" w:hAnsi="仿宋" w:eastAsia="仿宋" w:cs="仿宋"/>
          <w:b/>
          <w:bCs/>
          <w:sz w:val="36"/>
          <w:szCs w:val="36"/>
        </w:rPr>
        <w:t>一、部门概况</w:t>
      </w:r>
    </w:p>
    <w:p>
      <w:pPr>
        <w:topLinePunct/>
        <w:spacing w:line="360" w:lineRule="auto"/>
        <w:ind w:firstLine="803" w:firstLineChars="250"/>
        <w:rPr>
          <w:rFonts w:hint="eastAsia" w:ascii="仿宋" w:hAnsi="仿宋" w:eastAsia="仿宋" w:cs="仿宋"/>
          <w:b/>
          <w:bCs/>
          <w:sz w:val="32"/>
          <w:szCs w:val="32"/>
        </w:rPr>
      </w:pPr>
      <w:r>
        <w:rPr>
          <w:rFonts w:hint="eastAsia" w:ascii="仿宋" w:hAnsi="仿宋" w:eastAsia="仿宋" w:cs="仿宋"/>
          <w:b/>
          <w:bCs/>
          <w:sz w:val="32"/>
          <w:szCs w:val="32"/>
        </w:rPr>
        <w:t>（一）部门机构设置、编制。</w:t>
      </w:r>
    </w:p>
    <w:p>
      <w:pPr>
        <w:spacing w:line="360" w:lineRule="auto"/>
        <w:ind w:firstLine="680" w:firstLineChars="200"/>
        <w:jc w:val="left"/>
        <w:rPr>
          <w:rFonts w:hint="eastAsia" w:ascii="仿宋" w:hAnsi="仿宋" w:eastAsia="仿宋" w:cs="仿宋"/>
          <w:spacing w:val="10"/>
          <w:sz w:val="32"/>
          <w:szCs w:val="32"/>
        </w:rPr>
      </w:pPr>
      <w:r>
        <w:rPr>
          <w:rFonts w:hint="eastAsia" w:ascii="仿宋" w:hAnsi="仿宋" w:eastAsia="仿宋" w:cs="仿宋"/>
          <w:spacing w:val="10"/>
          <w:sz w:val="32"/>
          <w:szCs w:val="32"/>
        </w:rPr>
        <w:t>核定事业编制15名，其中，设馆长1名（正科级），副馆长2名（副科级）。编制结构为：管理人员3名（双肩挑，即由专业技术人员兼任），专业技术13名，工勤技能2名。</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2019年年初本单位共有在职人员12人，本年度调入3人。截止2019年12月本单位在编在职人数15人。其中：专业技术人员15人（副高级职称4人，中级职称4人，初级职称7人）。提前退休人数5人。其中：副高级职称5人。正式退休13人。</w:t>
      </w:r>
    </w:p>
    <w:p>
      <w:pPr>
        <w:topLinePunct/>
        <w:spacing w:line="360" w:lineRule="auto"/>
        <w:ind w:firstLine="803" w:firstLineChars="250"/>
        <w:rPr>
          <w:rFonts w:hint="eastAsia" w:ascii="仿宋" w:hAnsi="仿宋" w:eastAsia="仿宋" w:cs="仿宋"/>
          <w:b/>
          <w:bCs/>
          <w:sz w:val="32"/>
          <w:szCs w:val="32"/>
        </w:rPr>
      </w:pPr>
      <w:r>
        <w:rPr>
          <w:rFonts w:hint="eastAsia" w:ascii="仿宋" w:hAnsi="仿宋" w:eastAsia="仿宋" w:cs="仿宋"/>
          <w:b/>
          <w:bCs/>
          <w:sz w:val="32"/>
          <w:szCs w:val="32"/>
        </w:rPr>
        <w:t>（二）部门职能。</w:t>
      </w:r>
    </w:p>
    <w:p>
      <w:pPr>
        <w:topLinePunct/>
        <w:spacing w:line="360" w:lineRule="auto"/>
        <w:ind w:firstLine="750" w:firstLineChars="250"/>
        <w:rPr>
          <w:rFonts w:hint="eastAsia" w:ascii="仿宋" w:hAnsi="仿宋" w:eastAsia="仿宋" w:cs="仿宋"/>
          <w:color w:val="000000"/>
          <w:kern w:val="0"/>
          <w:sz w:val="32"/>
          <w:szCs w:val="32"/>
        </w:rPr>
      </w:pPr>
      <w:r>
        <w:rPr>
          <w:rFonts w:hint="eastAsia" w:ascii="仿宋" w:hAnsi="仿宋" w:eastAsia="仿宋" w:cs="仿宋"/>
          <w:bCs/>
          <w:sz w:val="30"/>
          <w:szCs w:val="30"/>
        </w:rPr>
        <w:t>广泛收集、整理、保存各类图书、报纸、期刊、音像制品、电子出版物和网络信息等文献信息资源，分门别类建立数据库、资源库；通过馆内、网上流通阅览、书目参考、咨询答疑，馆外设立分馆、流动图书馆（室）、图书流动服务点等提供服务，最大限度地满足读者的需求；负责全州公共图书馆、文化站、文化信息资源共享工程、数字图书馆推广工程、分馆、图书流动点的协作协调工作，发挥州图书馆的桥梁作用；组织开展州、县、乡（镇）、村（居）委会图书馆互动交流，推动全州图书馆事业的繁荣发展；负责组织全州图书馆、文化信息资源共享工程、文化站、农家书屋专业人员的培训辅导工作；负责搞好全州文化信息资源调研，征集、加工、整合、配送数字文化信息资源，建设全州文化信息资源数据库，承担全州共享工程的日常运行、维护、培训等专业技术工作；协助上级做好其他各项工作；</w:t>
      </w:r>
      <w:r>
        <w:rPr>
          <w:rFonts w:hint="eastAsia" w:ascii="仿宋" w:hAnsi="仿宋" w:eastAsia="仿宋" w:cs="仿宋"/>
          <w:color w:val="000000"/>
          <w:kern w:val="0"/>
          <w:sz w:val="32"/>
          <w:szCs w:val="32"/>
        </w:rPr>
        <w:t>开展对外社会文化交流，弘扬中华民族优秀文化。</w:t>
      </w:r>
    </w:p>
    <w:p>
      <w:pPr>
        <w:topLinePunct/>
        <w:spacing w:line="360" w:lineRule="auto"/>
        <w:ind w:firstLine="803" w:firstLineChars="250"/>
        <w:rPr>
          <w:rFonts w:hint="eastAsia" w:ascii="仿宋" w:hAnsi="仿宋" w:eastAsia="仿宋" w:cs="仿宋"/>
          <w:b/>
          <w:bCs/>
          <w:sz w:val="32"/>
          <w:szCs w:val="32"/>
        </w:rPr>
      </w:pPr>
      <w:r>
        <w:rPr>
          <w:rFonts w:hint="eastAsia" w:ascii="仿宋" w:hAnsi="仿宋" w:eastAsia="仿宋" w:cs="仿宋"/>
          <w:b/>
          <w:bCs/>
          <w:sz w:val="32"/>
          <w:szCs w:val="32"/>
        </w:rPr>
        <w:t>（三）部门工作完成情况。</w:t>
      </w:r>
    </w:p>
    <w:p>
      <w:pPr>
        <w:pStyle w:val="11"/>
        <w:spacing w:line="360" w:lineRule="auto"/>
        <w:ind w:firstLine="820"/>
        <w:jc w:val="left"/>
        <w:rPr>
          <w:rFonts w:hint="eastAsia" w:ascii="仿宋" w:hAnsi="仿宋" w:eastAsia="仿宋" w:cs="仿宋"/>
          <w:lang w:val="en-US" w:eastAsia="zh-CN"/>
        </w:rPr>
      </w:pPr>
      <w:r>
        <w:rPr>
          <w:rFonts w:hint="eastAsia" w:ascii="仿宋" w:hAnsi="仿宋" w:eastAsia="仿宋" w:cs="仿宋"/>
          <w:lang w:val="en-US" w:eastAsia="zh-CN"/>
        </w:rPr>
        <w:t>迪庆州图书馆全部实现无障碍、零门槛进入，公共空间设施场地全部免费开放，所提供的基本服务项目全部免费。2019年服务人次</w:t>
      </w:r>
      <w:r>
        <w:rPr>
          <w:rFonts w:hint="eastAsia" w:ascii="仿宋" w:hAnsi="仿宋" w:eastAsia="仿宋" w:cs="仿宋"/>
          <w:sz w:val="32"/>
          <w:szCs w:val="32"/>
        </w:rPr>
        <w:t>全年共接待读者9</w:t>
      </w:r>
      <w:r>
        <w:rPr>
          <w:rFonts w:hint="eastAsia" w:ascii="仿宋" w:hAnsi="仿宋" w:eastAsia="仿宋" w:cs="仿宋"/>
          <w:lang w:val="en-US" w:eastAsia="zh-CN"/>
        </w:rPr>
        <w:t>万以上，全年免费开放时间不低于200天，通过图片、视频、专题活动、培训和讲座等多种展览形式，为观众提供优质、高效的公共文化服务体验。</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（一）“全民阅读”系列活动</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季度：春节前夕，到妥洛村开展“书香进万家”文化惠民活动，免费写送春联300余副。向那米组活动室捐赠种植、养殖、法律、党建、电气化、文学等类目图书400册，同时组织村民播放科普节目，进一步开展文化帮扶工作。在迪庆州森林消防大队、武警云南总队机动第二支队组织开展“中国梦·高原情”—书香进万家新春公益文化活动，为迪庆州森林消防大队交流补充图书432册、武警云南总队机动第二支队1226册，活动共计500余官兵参与。</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二季度： 4·23 “世界读书日”“倡导全民阅读·推进学习型社会建设”主题系列活动启动仪式在香格里拉市红太阳广场及图书馆内隆重举行，活动共计3000多人参与。5月，举办喜迎新中国成立70周年——“我和我的祖国”迪庆州香格里拉第十一届“读书杯”中小学生作文竞赛暨幼儿书画展活动，共有26所学校参赛，参赛学生7000多人，获奖作文及幼儿书画作品共计269篇，其中小学组106篇、初中组55篇、高中组38篇；幼儿书画作品70幅。与此同时，在图书馆内同步展出“迪庆·记忆”图片展、“秦风秦地”图文展览。 5月份，结合文媒融合“全民阅读”服务创新推广，联合迪庆州广播电视台，组织策划推出1期“书香·香格里拉”广播电视节目，旨在推荐本土优秀文化，点击率过万。6月，武警机动第二支队与迪庆州图书馆组织开展“时代新人说——我和祖国共成长”演讲比赛。共评出一等奖1名、二等奖2名、三等奖3名，鼓励奖5名。</w:t>
      </w:r>
    </w:p>
    <w:p>
      <w:pPr>
        <w:ind w:firstLine="480" w:firstLineChars="150"/>
        <w:rPr>
          <w:rFonts w:hint="eastAsia" w:ascii="仿宋" w:hAnsi="仿宋" w:eastAsia="仿宋" w:cs="仿宋"/>
          <w:kern w:val="0"/>
          <w:sz w:val="32"/>
          <w:szCs w:val="32"/>
        </w:rPr>
      </w:pPr>
      <w:r>
        <w:rPr>
          <w:rFonts w:hint="eastAsia" w:ascii="仿宋" w:hAnsi="仿宋" w:eastAsia="仿宋" w:cs="仿宋"/>
          <w:sz w:val="32"/>
          <w:szCs w:val="32"/>
        </w:rPr>
        <w:t>三季度：9月，组织以“礼赞新中国 赞美新时代”为主题的庆祝“新中国成立70周年·金秋诗会”活动，活动在州森林消防大队分馆举行，100多名老中青幼各阶层读者欢聚一堂，以朗诵诗歌的方式庆祝新中国成立70周年，欢度中秋佳节。9月7日，</w:t>
      </w:r>
      <w:r>
        <w:rPr>
          <w:rFonts w:hint="eastAsia" w:ascii="仿宋" w:hAnsi="仿宋" w:eastAsia="仿宋" w:cs="仿宋"/>
          <w:kern w:val="0"/>
          <w:sz w:val="32"/>
          <w:szCs w:val="32"/>
        </w:rPr>
        <w:t>由国家文旅部、国家文物局主办，国家图书馆（国家古籍保护中心、国家典籍博物馆）承办，全国高等院校古籍整理研究工作委员会及各参展单位协办的“中华传统文化典籍保护传承大展”，迪庆“纳格拉洞藏经”荣登国家典籍博物馆展出。</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四季度：10月，结合局党委开展的“十一文旅周”活动，“册府千华——纳格拉洞藏经修复成果”在独克宗古城月光广场面向社会公开展出，展览共计3000人参与；“不忘初心、牢记使命”主题教育暨“国学经典诵读”活动三期分别在尼西乡小学、香格里拉中学、香格里拉幼儿园二分园举行，共计1300多名学生参与朗诵和表演；10月28日，在金江镇新建村瓦金街一组举办“不忘初心、牢记使命”主题教育暨“书香敬老”系列活动，活动内容为健康咨询、免费体检、“不忘初心、牢记使命”主题教育宣讲活动、发放“册府千华—纳格拉洞藏经”修复成果展宣传折页、阅读交流，活动共计50多名老年人参加。</w:t>
      </w:r>
    </w:p>
    <w:p>
      <w:pPr>
        <w:spacing w:line="54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-12月份，组织开展馆内群体性读书活动12次。全年馆内播放优秀电影和知识讲座5场，开展5期青少年优秀电影播放活动，分别播放红色经典电影等，共计观影人数243人。全年组织幼儿、小学生、部队官兵、农民工、老年人等群体，积极开展全民阅读，共建书香迪庆。</w:t>
      </w:r>
    </w:p>
    <w:p>
      <w:pPr>
        <w:numPr>
          <w:ilvl w:val="0"/>
          <w:numId w:val="1"/>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法人治理结构改革工作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加强我州公共文化服务体系建设，图书馆法人治理结构改革，推进基本公共文化服务标准化、规范化、均等化建设。根据《关于深入推进云南省公共文化机构法人治理结构改革的实施方案》的通知（云文发〔2018〕1号）文件精神。8月23日，迪庆州图书馆组建迪庆州图书馆法人治理结构改革第一届理事，召开迪庆州图书馆法人治理结构改革第一届理事会全体会议。理事会通过政府、企业、专家、社会读者的参与共同促进迪庆州图书馆事业的发展。会议通过了迪庆州图书馆理事会章程。同时按照省、州文旅厅的要求，分别在独克宗古城“花筑</w:t>
      </w:r>
      <w:r>
        <w:rPr>
          <w:rFonts w:hint="eastAsia" w:ascii="仿宋" w:hAnsi="仿宋" w:eastAsia="仿宋" w:cs="仿宋"/>
          <w:b/>
          <w:bCs/>
          <w:sz w:val="32"/>
          <w:szCs w:val="32"/>
        </w:rPr>
        <w:t>·</w:t>
      </w:r>
      <w:r>
        <w:rPr>
          <w:rFonts w:hint="eastAsia" w:ascii="仿宋" w:hAnsi="仿宋" w:eastAsia="仿宋" w:cs="仿宋"/>
          <w:sz w:val="32"/>
          <w:szCs w:val="32"/>
        </w:rPr>
        <w:t>心中日月别苑”、“古城商会”、巴拉格宗景区设立3个书坊，共配置1530册图书。根据改革任务要求，11月6日—9日，在维西县保和镇政府举办迪庆州县级文化馆图书馆总分管制建设、基层综合性文化服务中心建设暨2019年全州文化馆（站）业务骨干培训班。全州29个乡镇100多名文化业务骨干参加培训。</w:t>
      </w:r>
    </w:p>
    <w:p>
      <w:pPr>
        <w:numPr>
          <w:ilvl w:val="0"/>
          <w:numId w:val="2"/>
        </w:numPr>
        <w:rPr>
          <w:rFonts w:hint="eastAsia" w:ascii="仿宋" w:hAnsi="仿宋" w:eastAsia="仿宋" w:cs="仿宋"/>
          <w:sz w:val="32"/>
          <w:szCs w:val="32"/>
        </w:rPr>
      </w:pPr>
      <w:r>
        <w:rPr>
          <w:rFonts w:hint="eastAsia" w:ascii="仿宋" w:hAnsi="仿宋" w:eastAsia="仿宋" w:cs="仿宋"/>
          <w:sz w:val="32"/>
          <w:szCs w:val="32"/>
        </w:rPr>
        <w:t xml:space="preserve">“扫黑除恶”专项工作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按照《迪庆州图书馆扫黑除恶专项治理工作方案》，州图书馆、馆党支部持续推进扫黑除恶专项斗争宣传工作 。在图书馆大楼入口处张贴《迪庆州文化和旅游局致迪庆州文旅行业的一封公开信》、《迪庆州图书馆扫黑除恶专项斗争告知书》；在图书馆大门口、红太阳广场周边悬挂扫黑除恶宣传标语11幅；在图书馆小广场设扫黑除恶宣传栏1期；在图书馆一楼大厅设扫黑除恶意见箱，公示栏设扫黑除恶举报电话、电子邮箱；4·23“世界读书日”活动当天，在红太阳广场向社会群众、参加活动代表现场发放扫黑除恶宣传册500份；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（四）脱贫攻坚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脱贫攻坚工作要求，组织全馆职工进村入户开展回访和帮扶两次；开展文化帮扶，“世界读书日”组织社会企业开展图书、文具等扶贫物资募捐，全馆职工扶贫募捐6300元；为那米二组活动配送科普类图书400册；与那米一二组村民共同开展“不忘初心、牢记使命”主题教育，扶贫扶志，共同攻坚克难决胜脱贫攻坚。</w:t>
      </w:r>
    </w:p>
    <w:p>
      <w:pPr>
        <w:numPr>
          <w:ilvl w:val="0"/>
          <w:numId w:val="2"/>
        </w:numPr>
        <w:rPr>
          <w:rFonts w:hint="eastAsia" w:ascii="仿宋" w:hAnsi="仿宋" w:eastAsia="仿宋" w:cs="仿宋"/>
          <w:sz w:val="32"/>
          <w:szCs w:val="32"/>
        </w:rPr>
      </w:pPr>
      <w:r>
        <w:rPr>
          <w:rFonts w:hint="eastAsia" w:ascii="仿宋" w:hAnsi="仿宋" w:eastAsia="仿宋" w:cs="仿宋"/>
          <w:bCs/>
          <w:sz w:val="32"/>
          <w:szCs w:val="32"/>
        </w:rPr>
        <w:t xml:space="preserve">古籍工作 </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启动“纳格拉洞藏经”整理工作，完成“纳格拉洞藏经”修复成果图册初稿，同时向本级财政、州委宣传部积极申报项目，争取项目资金；9月份，“纳格拉洞藏经”部分修复成果在“中华传统文化典籍保护传承大展”展出；除做好馆内展出外，“纳格拉洞藏经”国庆期间在月光广场向海内外游客公开展示；11月13日至15日，云南省图书馆建馆110周年系列活动开展期间，省图举办了“公共图书馆法人治理结构改革”暨“少数民族古籍保护”学术论坛、“中国古籍保护协会少数民族古籍保护专业委员会”工作会议，迪庆香格里拉“纳格拉洞藏经”修复成果再次参展，迪庆州图书馆代表在“少数民族古籍保护”论坛上作了专题发言。同时拟在2020年元旦期间在州博物馆专题展出，以服务于全州文旅事业的发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（五）物资争取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从国家图书馆争取到图书10000册、期刊10000册，州文联400册，中国光华科技基金会价值60000元的图书，迪庆州新华书店有限责任公司价值5000元的图书和物资，昆明新知集团有限公司香格里拉市分公司价值5000元的图书和物资，迪庆顺腾文化发展有限公司价值3500元的图书和物资。</w:t>
      </w:r>
    </w:p>
    <w:p>
      <w:pPr>
        <w:pStyle w:val="11"/>
        <w:spacing w:line="360" w:lineRule="auto"/>
        <w:ind w:firstLine="820"/>
        <w:jc w:val="left"/>
        <w:rPr>
          <w:rFonts w:hint="eastAsia" w:ascii="仿宋" w:hAnsi="仿宋" w:eastAsia="仿宋" w:cs="仿宋"/>
          <w:lang w:val="en-US" w:eastAsia="zh-CN"/>
        </w:rPr>
      </w:pPr>
    </w:p>
    <w:p>
      <w:pPr>
        <w:topLinePunct/>
        <w:spacing w:line="360" w:lineRule="auto"/>
        <w:ind w:firstLine="803" w:firstLineChars="250"/>
        <w:rPr>
          <w:rFonts w:hint="eastAsia" w:ascii="仿宋" w:hAnsi="仿宋" w:eastAsia="仿宋" w:cs="仿宋"/>
          <w:b/>
          <w:bCs/>
          <w:sz w:val="32"/>
          <w:szCs w:val="32"/>
        </w:rPr>
      </w:pPr>
      <w:r>
        <w:rPr>
          <w:rFonts w:hint="eastAsia" w:ascii="仿宋" w:hAnsi="仿宋" w:eastAsia="仿宋" w:cs="仿宋"/>
          <w:b/>
          <w:bCs/>
          <w:sz w:val="32"/>
          <w:szCs w:val="32"/>
        </w:rPr>
        <w:t>（四）部门管理制度。</w:t>
      </w:r>
    </w:p>
    <w:p>
      <w:pPr>
        <w:topLinePunct/>
        <w:spacing w:line="360" w:lineRule="auto"/>
        <w:ind w:firstLine="750" w:firstLineChars="250"/>
        <w:rPr>
          <w:rFonts w:hint="eastAsia" w:ascii="仿宋" w:hAnsi="仿宋" w:eastAsia="仿宋" w:cs="仿宋"/>
          <w:sz w:val="30"/>
          <w:szCs w:val="30"/>
          <w:lang w:bidi="zh-TW"/>
        </w:rPr>
      </w:pPr>
      <w:r>
        <w:rPr>
          <w:rFonts w:hint="eastAsia" w:ascii="仿宋" w:hAnsi="仿宋" w:eastAsia="仿宋" w:cs="仿宋"/>
          <w:sz w:val="30"/>
          <w:szCs w:val="30"/>
          <w:lang w:bidi="zh-TW"/>
        </w:rPr>
        <w:t xml:space="preserve"> 严格按照</w:t>
      </w:r>
      <w:r>
        <w:rPr>
          <w:rFonts w:hint="eastAsia" w:ascii="仿宋" w:hAnsi="仿宋" w:eastAsia="仿宋" w:cs="仿宋"/>
          <w:sz w:val="30"/>
          <w:szCs w:val="30"/>
          <w:lang w:val="zh-TW" w:bidi="zh-TW"/>
        </w:rPr>
        <w:t>《财政部关于印发〈中央补助地方公共文化服务体系建设专项资金管理暂行</w:t>
      </w:r>
      <w:r>
        <w:rPr>
          <w:rFonts w:hint="eastAsia" w:ascii="仿宋" w:hAnsi="仿宋" w:eastAsia="仿宋" w:cs="仿宋"/>
          <w:sz w:val="30"/>
          <w:szCs w:val="30"/>
          <w:lang w:val="zh-TW" w:eastAsia="zh-TW" w:bidi="zh-TW"/>
        </w:rPr>
        <w:t>办法</w:t>
      </w:r>
      <w:r>
        <w:rPr>
          <w:rFonts w:hint="eastAsia" w:ascii="仿宋" w:hAnsi="仿宋" w:eastAsia="仿宋" w:cs="仿宋"/>
          <w:sz w:val="30"/>
          <w:szCs w:val="30"/>
          <w:lang w:val="zh-TW" w:bidi="zh-TW"/>
        </w:rPr>
        <w:t>〉的通知》（财教</w:t>
      </w:r>
      <w:r>
        <w:rPr>
          <w:rFonts w:hint="eastAsia" w:ascii="仿宋" w:hAnsi="仿宋" w:eastAsia="仿宋" w:cs="仿宋"/>
          <w:sz w:val="30"/>
          <w:szCs w:val="30"/>
          <w:lang w:bidi="zh-TW"/>
        </w:rPr>
        <w:t>[2015]527号）、《财政部关于印发〈中央对地方专项转移支付管理办法〉的通知》（财预[2015]230号）、《财政部 文化部关于印发&lt;中央补助地方美术馆公共图书馆 文化馆（站）免费开放专项资金管理暂行办法&gt;的通知》（财教〔2013〕98号）和《云南省财政厅 云南省文化厅关于印发〈云南省美术馆 公共图书馆 文化馆（站）免费开放专项资金管理暂行办法〉的通知》（云财教[2014]36号）执行。有《迪庆州图书馆内部管理制度》。</w:t>
      </w:r>
    </w:p>
    <w:p>
      <w:pPr>
        <w:topLinePunct/>
        <w:spacing w:line="360" w:lineRule="auto"/>
        <w:ind w:firstLine="803" w:firstLineChars="250"/>
        <w:rPr>
          <w:rFonts w:hint="eastAsia" w:ascii="仿宋" w:hAnsi="仿宋" w:eastAsia="仿宋" w:cs="仿宋"/>
          <w:b/>
          <w:bCs/>
          <w:sz w:val="32"/>
          <w:szCs w:val="32"/>
        </w:rPr>
      </w:pPr>
      <w:r>
        <w:rPr>
          <w:rFonts w:hint="eastAsia" w:ascii="仿宋" w:hAnsi="仿宋" w:eastAsia="仿宋" w:cs="仿宋"/>
          <w:b/>
          <w:bCs/>
          <w:sz w:val="32"/>
          <w:szCs w:val="32"/>
        </w:rPr>
        <w:t>（五）部门资金来源及使用情况。</w:t>
      </w:r>
    </w:p>
    <w:p>
      <w:pPr>
        <w:pStyle w:val="11"/>
        <w:spacing w:line="360" w:lineRule="auto"/>
        <w:ind w:firstLine="680"/>
        <w:rPr>
          <w:rFonts w:hint="eastAsia" w:ascii="仿宋" w:hAnsi="仿宋" w:eastAsia="仿宋" w:cs="仿宋"/>
        </w:rPr>
      </w:pPr>
      <w:bookmarkStart w:id="14" w:name="bookmark47"/>
      <w:bookmarkEnd w:id="14"/>
      <w:r>
        <w:rPr>
          <w:rFonts w:hint="eastAsia" w:ascii="仿宋" w:hAnsi="仿宋" w:eastAsia="仿宋" w:cs="仿宋"/>
          <w:color w:val="000000"/>
          <w:lang w:eastAsia="zh-CN"/>
        </w:rPr>
        <w:t>迪庆州图书馆</w:t>
      </w:r>
      <w:r>
        <w:rPr>
          <w:rFonts w:hint="eastAsia" w:ascii="仿宋" w:hAnsi="仿宋" w:eastAsia="仿宋" w:cs="仿宋"/>
          <w:color w:val="000000"/>
        </w:rPr>
        <w:t>部门资金来源于</w:t>
      </w:r>
      <w:r>
        <w:rPr>
          <w:rFonts w:hint="eastAsia" w:ascii="仿宋" w:hAnsi="仿宋" w:eastAsia="仿宋" w:cs="仿宋"/>
          <w:color w:val="000000"/>
          <w:lang w:eastAsia="zh-CN"/>
        </w:rPr>
        <w:t>州</w:t>
      </w:r>
      <w:r>
        <w:rPr>
          <w:rFonts w:hint="eastAsia" w:ascii="仿宋" w:hAnsi="仿宋" w:eastAsia="仿宋" w:cs="仿宋"/>
          <w:color w:val="000000"/>
        </w:rPr>
        <w:t>级财政预算资金。201</w:t>
      </w:r>
      <w:r>
        <w:rPr>
          <w:rFonts w:hint="eastAsia" w:ascii="仿宋" w:hAnsi="仿宋" w:eastAsia="仿宋" w:cs="仿宋"/>
          <w:color w:val="000000"/>
          <w:lang w:val="en-US" w:eastAsia="zh-CN"/>
        </w:rPr>
        <w:t>9</w:t>
      </w:r>
      <w:r>
        <w:rPr>
          <w:rFonts w:hint="eastAsia" w:ascii="仿宋" w:hAnsi="仿宋" w:eastAsia="仿宋" w:cs="仿宋"/>
          <w:color w:val="000000"/>
        </w:rPr>
        <w:t>年部门预算总收入</w:t>
      </w:r>
      <w:r>
        <w:rPr>
          <w:rFonts w:hint="eastAsia" w:ascii="仿宋" w:hAnsi="仿宋" w:eastAsia="仿宋" w:cs="仿宋"/>
          <w:color w:val="000000"/>
          <w:lang w:val="en-US" w:eastAsia="zh-CN" w:bidi="en-US"/>
        </w:rPr>
        <w:t>600.84</w:t>
      </w:r>
      <w:r>
        <w:rPr>
          <w:rFonts w:hint="eastAsia" w:ascii="仿宋" w:hAnsi="仿宋" w:eastAsia="仿宋" w:cs="仿宋"/>
          <w:color w:val="000000"/>
        </w:rPr>
        <w:t>万元。201</w:t>
      </w:r>
      <w:r>
        <w:rPr>
          <w:rFonts w:hint="eastAsia" w:ascii="仿宋" w:hAnsi="仿宋" w:eastAsia="仿宋" w:cs="仿宋"/>
          <w:color w:val="000000"/>
          <w:lang w:val="en-US" w:eastAsia="zh-CN"/>
        </w:rPr>
        <w:t>9</w:t>
      </w:r>
      <w:r>
        <w:rPr>
          <w:rFonts w:hint="eastAsia" w:ascii="仿宋" w:hAnsi="仿宋" w:eastAsia="仿宋" w:cs="仿宋"/>
          <w:color w:val="000000"/>
        </w:rPr>
        <w:t>年部门预算总支出</w:t>
      </w:r>
      <w:r>
        <w:rPr>
          <w:rFonts w:hint="eastAsia" w:ascii="仿宋" w:hAnsi="仿宋" w:eastAsia="仿宋" w:cs="仿宋"/>
          <w:color w:val="000000"/>
          <w:lang w:val="en-US" w:eastAsia="zh-CN" w:bidi="en-US"/>
        </w:rPr>
        <w:t>578.86</w:t>
      </w:r>
      <w:r>
        <w:rPr>
          <w:rFonts w:hint="eastAsia" w:ascii="仿宋" w:hAnsi="仿宋" w:eastAsia="仿宋" w:cs="仿宋"/>
          <w:color w:val="000000"/>
        </w:rPr>
        <w:t>万元，其中：基本支出</w:t>
      </w:r>
      <w:r>
        <w:rPr>
          <w:rFonts w:hint="eastAsia" w:ascii="仿宋" w:hAnsi="仿宋" w:eastAsia="仿宋" w:cs="仿宋"/>
          <w:color w:val="000000"/>
          <w:lang w:val="en-US" w:eastAsia="zh-CN"/>
        </w:rPr>
        <w:t>475.58</w:t>
      </w:r>
      <w:r>
        <w:rPr>
          <w:rFonts w:hint="eastAsia" w:ascii="仿宋" w:hAnsi="仿宋" w:eastAsia="仿宋" w:cs="仿宋"/>
          <w:color w:val="000000"/>
        </w:rPr>
        <w:t>万元，占总支出的</w:t>
      </w:r>
      <w:r>
        <w:rPr>
          <w:rFonts w:hint="eastAsia" w:ascii="仿宋" w:hAnsi="仿宋" w:eastAsia="仿宋" w:cs="仿宋"/>
          <w:color w:val="000000"/>
          <w:lang w:val="en-US" w:eastAsia="zh-CN"/>
        </w:rPr>
        <w:t>82</w:t>
      </w:r>
      <w:r>
        <w:rPr>
          <w:rFonts w:hint="eastAsia" w:ascii="仿宋" w:hAnsi="仿宋" w:eastAsia="仿宋" w:cs="仿宋"/>
          <w:color w:val="000000"/>
        </w:rPr>
        <w:t xml:space="preserve"> %,项目支出</w:t>
      </w:r>
      <w:r>
        <w:rPr>
          <w:rFonts w:hint="eastAsia" w:ascii="仿宋" w:hAnsi="仿宋" w:eastAsia="仿宋" w:cs="仿宋"/>
          <w:color w:val="000000"/>
          <w:lang w:val="en-US" w:eastAsia="zh-CN" w:bidi="en-US"/>
        </w:rPr>
        <w:t>103.28</w:t>
      </w:r>
      <w:r>
        <w:rPr>
          <w:rFonts w:hint="eastAsia" w:ascii="仿宋" w:hAnsi="仿宋" w:eastAsia="仿宋" w:cs="仿宋"/>
          <w:color w:val="000000"/>
        </w:rPr>
        <w:t>万元，占总支出的</w:t>
      </w:r>
      <w:r>
        <w:rPr>
          <w:rFonts w:hint="eastAsia" w:ascii="仿宋" w:hAnsi="仿宋" w:eastAsia="仿宋" w:cs="仿宋"/>
          <w:color w:val="000000"/>
          <w:lang w:val="en-US" w:eastAsia="zh-CN" w:bidi="en-US"/>
        </w:rPr>
        <w:t>18</w:t>
      </w:r>
      <w:r>
        <w:rPr>
          <w:rFonts w:hint="eastAsia" w:ascii="仿宋" w:hAnsi="仿宋" w:eastAsia="仿宋" w:cs="仿宋"/>
          <w:color w:val="000000"/>
        </w:rPr>
        <w:t>%。</w:t>
      </w:r>
    </w:p>
    <w:p>
      <w:pPr>
        <w:pStyle w:val="11"/>
        <w:spacing w:line="360" w:lineRule="auto"/>
        <w:ind w:left="700" w:firstLine="0"/>
        <w:rPr>
          <w:rFonts w:hint="eastAsia" w:ascii="仿宋" w:hAnsi="仿宋" w:eastAsia="仿宋" w:cs="仿宋"/>
          <w:b/>
          <w:bCs/>
        </w:rPr>
      </w:pPr>
      <w:r>
        <w:rPr>
          <w:rFonts w:hint="eastAsia" w:ascii="仿宋" w:hAnsi="仿宋" w:eastAsia="仿宋" w:cs="仿宋"/>
          <w:b/>
          <w:bCs/>
          <w:color w:val="000000"/>
          <w:lang w:val="en-US" w:eastAsia="zh-CN"/>
        </w:rPr>
        <w:t>1.</w:t>
      </w:r>
      <w:r>
        <w:rPr>
          <w:rFonts w:hint="eastAsia" w:ascii="仿宋" w:hAnsi="仿宋" w:eastAsia="仿宋" w:cs="仿宋"/>
          <w:b/>
          <w:bCs/>
          <w:color w:val="000000"/>
        </w:rPr>
        <w:t>基本支出情况</w:t>
      </w:r>
    </w:p>
    <w:p>
      <w:pPr>
        <w:pStyle w:val="11"/>
        <w:spacing w:line="360" w:lineRule="auto"/>
        <w:ind w:firstLine="700"/>
        <w:rPr>
          <w:rFonts w:hint="eastAsia" w:ascii="仿宋" w:hAnsi="仿宋" w:eastAsia="仿宋" w:cs="仿宋"/>
          <w:lang w:val="en-US" w:eastAsia="zh-CN"/>
        </w:rPr>
      </w:pPr>
      <w:r>
        <w:rPr>
          <w:rFonts w:hint="eastAsia" w:ascii="仿宋" w:hAnsi="仿宋" w:eastAsia="仿宋" w:cs="仿宋"/>
          <w:lang w:val="en-US" w:eastAsia="zh-CN"/>
        </w:rPr>
        <w:t>基本支出475.58万元占总支出82%。用于本单位正常运转的日常支出，包括</w:t>
      </w:r>
      <w:r>
        <w:rPr>
          <w:rFonts w:hint="eastAsia" w:ascii="仿宋" w:hAnsi="仿宋" w:eastAsia="仿宋" w:cs="仿宋"/>
          <w:color w:val="000000"/>
        </w:rPr>
        <w:t>基本工资、津贴补贴及各项社保等工资福利;办公经费、水电费、</w:t>
      </w:r>
      <w:r>
        <w:rPr>
          <w:rFonts w:hint="eastAsia" w:ascii="仿宋" w:hAnsi="仿宋" w:eastAsia="仿宋" w:cs="仿宋"/>
          <w:color w:val="000000"/>
          <w:lang w:eastAsia="zh-CN"/>
        </w:rPr>
        <w:t>邮电费、公务用车运行</w:t>
      </w:r>
      <w:r>
        <w:rPr>
          <w:rFonts w:hint="eastAsia" w:ascii="仿宋" w:hAnsi="仿宋" w:eastAsia="仿宋" w:cs="仿宋"/>
          <w:color w:val="000000"/>
        </w:rPr>
        <w:t>费、</w:t>
      </w:r>
      <w:r>
        <w:rPr>
          <w:rFonts w:hint="eastAsia" w:ascii="仿宋" w:hAnsi="仿宋" w:eastAsia="仿宋" w:cs="仿宋"/>
          <w:color w:val="000000"/>
          <w:lang w:eastAsia="zh-CN"/>
        </w:rPr>
        <w:t>维修维护费</w:t>
      </w:r>
      <w:r>
        <w:rPr>
          <w:rFonts w:hint="eastAsia" w:ascii="仿宋" w:hAnsi="仿宋" w:eastAsia="仿宋" w:cs="仿宋"/>
          <w:color w:val="000000"/>
        </w:rPr>
        <w:t>等</w:t>
      </w:r>
      <w:r>
        <w:rPr>
          <w:rFonts w:hint="eastAsia" w:ascii="仿宋" w:hAnsi="仿宋" w:eastAsia="仿宋" w:cs="仿宋"/>
          <w:color w:val="000000"/>
          <w:lang w:eastAsia="zh-CN"/>
        </w:rPr>
        <w:t>。</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其中人员经费460.03万元占基本支出97%。日常公用经费15.55万元占基本支出3%。</w:t>
      </w:r>
    </w:p>
    <w:p>
      <w:pPr>
        <w:pStyle w:val="11"/>
        <w:spacing w:line="360" w:lineRule="auto"/>
        <w:ind w:firstLine="700"/>
        <w:rPr>
          <w:rFonts w:hint="eastAsia" w:ascii="仿宋" w:hAnsi="仿宋" w:eastAsia="仿宋" w:cs="仿宋"/>
          <w:b/>
          <w:bCs/>
          <w:color w:val="000000"/>
        </w:rPr>
      </w:pPr>
      <w:r>
        <w:rPr>
          <w:rFonts w:hint="eastAsia" w:ascii="仿宋" w:hAnsi="仿宋" w:eastAsia="仿宋" w:cs="仿宋"/>
          <w:b/>
          <w:bCs/>
          <w:color w:val="000000"/>
        </w:rPr>
        <w:t xml:space="preserve">2 </w:t>
      </w:r>
      <w:r>
        <w:rPr>
          <w:rFonts w:hint="eastAsia" w:ascii="仿宋" w:hAnsi="仿宋" w:eastAsia="仿宋" w:cs="仿宋"/>
          <w:b/>
          <w:bCs/>
          <w:color w:val="000000"/>
          <w:lang w:val="zh-CN" w:eastAsia="zh-CN" w:bidi="zh-CN"/>
        </w:rPr>
        <w:t>.项</w:t>
      </w:r>
      <w:r>
        <w:rPr>
          <w:rFonts w:hint="eastAsia" w:ascii="仿宋" w:hAnsi="仿宋" w:eastAsia="仿宋" w:cs="仿宋"/>
          <w:b/>
          <w:bCs/>
          <w:color w:val="000000"/>
        </w:rPr>
        <w:t>目支出情况</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项目支出103.28万元占总支出18%。</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本年度年中增加拨入图书馆免费开放中央资金40万元；文化馆免费开放省级资金10万元；拔入2019年中央补助地方公共文化服务体系建设专项资金（公共文化设施设备维修维护补助20万)；拨入2019年中央补助地方公共文化服务体系建设专项资金读书看报服务推广“雪域书坊”图书及设备购置经费25万元；州级预算资金采购新书5万元；移动图书馆APP 5万元；免费开放州级配套资金20万元（全民阅读宣传活动8.75万元，送书下乡6万元，阅读机设备维护5.25万元）。</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本年度项目支出主要是免费开放中央资金17.39万元；免费开放省级资金10万元；2019年中央补助地方公共文化服务体系建设专项资金（公共文化设施设备维修维护补助1.36万)州级预算资金采购新书5万元；移动图书馆APP 5万元；免费开放州级配套资金20万元（全民阅读宣传活动8.75万元，送书下乡6万元，阅读机设备维护5.25万元）；2018年盲人数字阅读推广工程“智能听书机”15万元；2018年中央免费开放资金14.53万元；2018年文化服务体系建设专项资金场馆内外照明等设备购置及设施维修经费15万元。</w:t>
      </w:r>
    </w:p>
    <w:p>
      <w:pPr>
        <w:pStyle w:val="2"/>
        <w:spacing w:before="0" w:after="0" w:line="360" w:lineRule="auto"/>
        <w:rPr>
          <w:rFonts w:hint="eastAsia" w:ascii="仿宋" w:hAnsi="仿宋" w:eastAsia="仿宋" w:cs="仿宋"/>
          <w:b w:val="0"/>
          <w:bCs w:val="0"/>
          <w:color w:val="000000"/>
          <w:kern w:val="2"/>
          <w:sz w:val="30"/>
          <w:szCs w:val="30"/>
        </w:rPr>
      </w:pPr>
    </w:p>
    <w:p>
      <w:pPr>
        <w:topLinePunct/>
        <w:spacing w:line="360" w:lineRule="auto"/>
        <w:ind w:firstLine="750" w:firstLineChars="250"/>
        <w:rPr>
          <w:rFonts w:hint="eastAsia" w:ascii="仿宋" w:hAnsi="仿宋" w:eastAsia="仿宋" w:cs="仿宋"/>
          <w:color w:val="000000"/>
          <w:sz w:val="30"/>
          <w:szCs w:val="30"/>
        </w:rPr>
      </w:pPr>
      <w:bookmarkStart w:id="15" w:name="bookmark48"/>
      <w:bookmarkEnd w:id="15"/>
      <w:r>
        <w:rPr>
          <w:rFonts w:hint="eastAsia" w:ascii="仿宋" w:hAnsi="仿宋" w:eastAsia="仿宋" w:cs="仿宋"/>
          <w:color w:val="000000"/>
          <w:sz w:val="30"/>
          <w:szCs w:val="30"/>
        </w:rPr>
        <w:t>3.2019年迪庆州图书馆预算总支出</w:t>
      </w:r>
      <w:r>
        <w:rPr>
          <w:rFonts w:hint="eastAsia" w:ascii="仿宋" w:hAnsi="仿宋" w:eastAsia="仿宋" w:cs="仿宋"/>
          <w:color w:val="000000"/>
          <w:sz w:val="30"/>
          <w:szCs w:val="30"/>
          <w:lang w:bidi="en-US"/>
        </w:rPr>
        <w:t>578.86</w:t>
      </w:r>
      <w:r>
        <w:rPr>
          <w:rFonts w:hint="eastAsia" w:ascii="仿宋" w:hAnsi="仿宋" w:eastAsia="仿宋" w:cs="仿宋"/>
          <w:color w:val="000000"/>
          <w:sz w:val="30"/>
          <w:szCs w:val="30"/>
        </w:rPr>
        <w:t>万元,按支出经济科目分类，支出分别为工资福利支出458.96万元，占总支出79.29%。商品和服务支出91.48万元，占总支出15.8%。对个人和家庭的补助支出1.07万元，占总支出0.18%。资本性支出27.35万元，占总支出4.73%。</w:t>
      </w:r>
    </w:p>
    <w:p>
      <w:pPr>
        <w:topLinePunct/>
        <w:spacing w:line="360" w:lineRule="auto"/>
        <w:ind w:firstLine="803" w:firstLineChars="250"/>
        <w:rPr>
          <w:rFonts w:hint="eastAsia" w:ascii="仿宋" w:hAnsi="仿宋" w:eastAsia="仿宋" w:cs="仿宋"/>
          <w:b/>
          <w:bCs/>
          <w:sz w:val="32"/>
          <w:szCs w:val="32"/>
        </w:rPr>
      </w:pPr>
      <w:r>
        <w:rPr>
          <w:rFonts w:hint="eastAsia" w:ascii="仿宋" w:hAnsi="仿宋" w:eastAsia="仿宋" w:cs="仿宋"/>
          <w:b/>
          <w:bCs/>
          <w:sz w:val="32"/>
          <w:szCs w:val="32"/>
        </w:rPr>
        <w:t>（六）政府采购情况。</w:t>
      </w:r>
    </w:p>
    <w:p>
      <w:pPr>
        <w:pStyle w:val="2"/>
        <w:spacing w:before="0" w:after="0" w:line="360" w:lineRule="auto"/>
        <w:rPr>
          <w:rFonts w:hint="eastAsia" w:ascii="仿宋" w:hAnsi="仿宋" w:eastAsia="仿宋" w:cs="仿宋"/>
          <w:b w:val="0"/>
          <w:bCs w:val="0"/>
          <w:sz w:val="30"/>
          <w:szCs w:val="30"/>
        </w:rPr>
      </w:pPr>
      <w:r>
        <w:rPr>
          <w:rFonts w:hint="eastAsia" w:ascii="仿宋" w:hAnsi="仿宋" w:eastAsia="仿宋" w:cs="仿宋"/>
          <w:b w:val="0"/>
          <w:bCs w:val="0"/>
          <w:sz w:val="30"/>
          <w:szCs w:val="30"/>
        </w:rPr>
        <w:t xml:space="preserve">    2019年迪庆州图书馆无政府采购。</w:t>
      </w:r>
    </w:p>
    <w:p>
      <w:pPr>
        <w:topLinePunct/>
        <w:spacing w:line="360" w:lineRule="auto"/>
        <w:ind w:firstLine="803" w:firstLineChars="250"/>
        <w:rPr>
          <w:rFonts w:hint="eastAsia" w:ascii="仿宋" w:hAnsi="仿宋" w:eastAsia="仿宋" w:cs="仿宋"/>
          <w:b/>
          <w:bCs/>
          <w:sz w:val="32"/>
          <w:szCs w:val="32"/>
        </w:rPr>
      </w:pPr>
      <w:r>
        <w:rPr>
          <w:rFonts w:hint="eastAsia" w:ascii="仿宋" w:hAnsi="仿宋" w:eastAsia="仿宋" w:cs="仿宋"/>
          <w:b/>
          <w:bCs/>
          <w:sz w:val="32"/>
          <w:szCs w:val="32"/>
        </w:rPr>
        <w:t>（七）固定资产情况。</w:t>
      </w:r>
    </w:p>
    <w:p>
      <w:pPr>
        <w:pStyle w:val="2"/>
        <w:spacing w:before="0" w:after="0" w:line="360" w:lineRule="auto"/>
        <w:rPr>
          <w:rFonts w:hint="eastAsia" w:ascii="仿宋" w:hAnsi="仿宋" w:eastAsia="仿宋" w:cs="仿宋"/>
          <w:b w:val="0"/>
          <w:bCs w:val="0"/>
          <w:sz w:val="30"/>
          <w:szCs w:val="30"/>
        </w:rPr>
      </w:pPr>
      <w:r>
        <w:rPr>
          <w:rFonts w:hint="eastAsia" w:ascii="仿宋" w:hAnsi="仿宋" w:eastAsia="仿宋" w:cs="仿宋"/>
          <w:b w:val="0"/>
          <w:bCs w:val="0"/>
          <w:sz w:val="30"/>
          <w:szCs w:val="30"/>
        </w:rPr>
        <w:t xml:space="preserve">    </w:t>
      </w:r>
      <w:r>
        <w:rPr>
          <w:rFonts w:hint="eastAsia" w:ascii="仿宋" w:hAnsi="仿宋" w:eastAsia="仿宋" w:cs="仿宋"/>
          <w:b w:val="0"/>
          <w:bCs w:val="0"/>
          <w:kern w:val="0"/>
          <w:sz w:val="30"/>
          <w:szCs w:val="30"/>
        </w:rPr>
        <w:t>固定资产2019年原值为1490.91元，与上年一致未增减。其中土地、房屋及构筑物897.05万元，通用设备211.97万元，专用设备21.18万元，图书、档案277.34万元，家具、用具、装具83.37万元。</w:t>
      </w:r>
    </w:p>
    <w:p>
      <w:pPr>
        <w:topLinePunct/>
        <w:spacing w:line="360" w:lineRule="auto"/>
        <w:ind w:firstLine="750" w:firstLineChars="250"/>
        <w:rPr>
          <w:rFonts w:hint="eastAsia" w:ascii="仿宋" w:hAnsi="仿宋" w:eastAsia="仿宋" w:cs="仿宋"/>
          <w:sz w:val="30"/>
          <w:szCs w:val="30"/>
        </w:rPr>
      </w:pPr>
    </w:p>
    <w:p>
      <w:pPr>
        <w:topLinePunct/>
        <w:spacing w:line="360" w:lineRule="auto"/>
        <w:ind w:firstLine="883" w:firstLineChars="200"/>
        <w:rPr>
          <w:rFonts w:hint="eastAsia" w:ascii="仿宋" w:hAnsi="仿宋" w:eastAsia="仿宋" w:cs="仿宋"/>
          <w:b/>
          <w:bCs/>
          <w:sz w:val="44"/>
          <w:szCs w:val="44"/>
        </w:rPr>
      </w:pPr>
      <w:r>
        <w:rPr>
          <w:rFonts w:hint="eastAsia" w:ascii="仿宋" w:hAnsi="仿宋" w:eastAsia="仿宋" w:cs="仿宋"/>
          <w:b/>
          <w:bCs/>
          <w:sz w:val="44"/>
          <w:szCs w:val="44"/>
        </w:rPr>
        <w:t>二、绩效目标</w:t>
      </w:r>
    </w:p>
    <w:p>
      <w:pPr>
        <w:topLinePunct/>
        <w:spacing w:line="360" w:lineRule="auto"/>
        <w:ind w:firstLine="803" w:firstLineChars="250"/>
        <w:rPr>
          <w:rFonts w:hint="eastAsia" w:ascii="仿宋" w:hAnsi="仿宋" w:eastAsia="仿宋" w:cs="仿宋"/>
          <w:b/>
          <w:bCs/>
          <w:sz w:val="32"/>
          <w:szCs w:val="32"/>
        </w:rPr>
      </w:pPr>
      <w:r>
        <w:rPr>
          <w:rFonts w:hint="eastAsia" w:ascii="仿宋" w:hAnsi="仿宋" w:eastAsia="仿宋" w:cs="仿宋"/>
          <w:b/>
          <w:bCs/>
          <w:sz w:val="32"/>
          <w:szCs w:val="32"/>
        </w:rPr>
        <w:t>（一）部门总目标。</w:t>
      </w:r>
    </w:p>
    <w:p>
      <w:pPr>
        <w:spacing w:line="360" w:lineRule="auto"/>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1、重点目标：</w:t>
      </w:r>
    </w:p>
    <w:p>
      <w:pPr>
        <w:spacing w:line="360" w:lineRule="auto"/>
        <w:ind w:firstLine="600" w:firstLineChars="200"/>
        <w:jc w:val="left"/>
        <w:rPr>
          <w:rFonts w:hint="eastAsia" w:ascii="仿宋" w:hAnsi="仿宋" w:eastAsia="仿宋" w:cs="仿宋"/>
          <w:sz w:val="32"/>
          <w:szCs w:val="32"/>
          <w:lang w:val="en-US" w:eastAsia="zh-CN"/>
        </w:rPr>
      </w:pPr>
      <w:r>
        <w:rPr>
          <w:rFonts w:hint="eastAsia" w:ascii="仿宋" w:hAnsi="仿宋" w:eastAsia="仿宋" w:cs="仿宋"/>
          <w:sz w:val="30"/>
          <w:szCs w:val="30"/>
        </w:rPr>
        <w:t>（</w:t>
      </w:r>
      <w:r>
        <w:rPr>
          <w:rFonts w:hint="eastAsia" w:ascii="仿宋" w:hAnsi="仿宋" w:eastAsia="仿宋" w:cs="仿宋"/>
          <w:sz w:val="32"/>
          <w:szCs w:val="32"/>
        </w:rPr>
        <w:t>1）</w:t>
      </w:r>
      <w:r>
        <w:rPr>
          <w:rFonts w:hint="eastAsia" w:ascii="仿宋" w:hAnsi="仿宋" w:eastAsia="仿宋" w:cs="仿宋"/>
          <w:sz w:val="32"/>
          <w:szCs w:val="32"/>
          <w:lang w:eastAsia="zh-CN"/>
        </w:rPr>
        <w:t>全年新建图书分馆，流动图书室共</w:t>
      </w:r>
      <w:r>
        <w:rPr>
          <w:rFonts w:hint="eastAsia" w:ascii="仿宋" w:hAnsi="仿宋" w:eastAsia="仿宋" w:cs="仿宋"/>
          <w:sz w:val="32"/>
          <w:szCs w:val="32"/>
          <w:lang w:val="en-US" w:eastAsia="zh-CN"/>
        </w:rPr>
        <w:t>4个</w:t>
      </w:r>
    </w:p>
    <w:p>
      <w:pPr>
        <w:spacing w:line="36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eastAsia="zh-CN"/>
        </w:rPr>
        <w:t>全年组织开展读书分享会及电影展播</w:t>
      </w:r>
      <w:r>
        <w:rPr>
          <w:rFonts w:hint="eastAsia" w:ascii="仿宋" w:hAnsi="仿宋" w:eastAsia="仿宋" w:cs="仿宋"/>
          <w:sz w:val="32"/>
          <w:szCs w:val="32"/>
          <w:lang w:val="en-US" w:eastAsia="zh-CN"/>
        </w:rPr>
        <w:t>12期以上</w:t>
      </w:r>
    </w:p>
    <w:p>
      <w:pPr>
        <w:spacing w:line="360" w:lineRule="auto"/>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eastAsia="zh-CN"/>
        </w:rPr>
        <w:t>第四届“敬老月”活动已完成</w:t>
      </w:r>
    </w:p>
    <w:p>
      <w:pPr>
        <w:spacing w:line="360" w:lineRule="auto"/>
        <w:ind w:left="958" w:leftChars="304" w:hanging="320" w:hangingChars="100"/>
        <w:jc w:val="left"/>
        <w:rPr>
          <w:rFonts w:hint="eastAsia" w:ascii="仿宋" w:hAnsi="仿宋" w:eastAsia="仿宋" w:cs="仿宋"/>
          <w:sz w:val="32"/>
          <w:szCs w:val="32"/>
        </w:rPr>
      </w:pPr>
      <w:r>
        <w:rPr>
          <w:rFonts w:hint="eastAsia" w:ascii="仿宋" w:hAnsi="仿宋" w:eastAsia="仿宋" w:cs="仿宋"/>
          <w:sz w:val="32"/>
          <w:szCs w:val="32"/>
        </w:rPr>
        <w:t xml:space="preserve">（4） </w:t>
      </w:r>
      <w:r>
        <w:rPr>
          <w:rFonts w:hint="eastAsia" w:ascii="仿宋" w:hAnsi="仿宋" w:eastAsia="仿宋" w:cs="仿宋"/>
          <w:sz w:val="32"/>
          <w:szCs w:val="32"/>
          <w:lang w:eastAsia="zh-CN"/>
        </w:rPr>
        <w:t>第三届“国学经典诵读”活动</w:t>
      </w:r>
      <w:r>
        <w:rPr>
          <w:rFonts w:hint="eastAsia" w:ascii="仿宋" w:hAnsi="仿宋" w:eastAsia="仿宋" w:cs="仿宋"/>
          <w:sz w:val="32"/>
          <w:szCs w:val="32"/>
        </w:rPr>
        <w:t xml:space="preserve"> </w:t>
      </w:r>
      <w:r>
        <w:rPr>
          <w:rFonts w:hint="eastAsia" w:ascii="仿宋" w:hAnsi="仿宋" w:eastAsia="仿宋" w:cs="仿宋"/>
          <w:sz w:val="32"/>
          <w:szCs w:val="32"/>
          <w:lang w:eastAsia="zh-CN"/>
        </w:rPr>
        <w:t>三期已完成</w:t>
      </w:r>
      <w:r>
        <w:rPr>
          <w:rFonts w:hint="eastAsia" w:ascii="仿宋" w:hAnsi="仿宋" w:eastAsia="仿宋" w:cs="仿宋"/>
          <w:sz w:val="32"/>
          <w:szCs w:val="32"/>
        </w:rPr>
        <w:t xml:space="preserve">                                                                                        </w:t>
      </w:r>
    </w:p>
    <w:p>
      <w:pPr>
        <w:spacing w:line="360" w:lineRule="auto"/>
        <w:ind w:left="958" w:leftChars="304" w:hanging="320" w:hangingChars="100"/>
        <w:jc w:val="left"/>
        <w:rPr>
          <w:rFonts w:hint="eastAsia" w:ascii="仿宋" w:hAnsi="仿宋" w:eastAsia="仿宋" w:cs="仿宋"/>
          <w:sz w:val="32"/>
          <w:szCs w:val="32"/>
          <w:lang w:eastAsia="zh-CN"/>
        </w:rPr>
      </w:pPr>
      <w:r>
        <w:rPr>
          <w:rFonts w:hint="eastAsia" w:ascii="仿宋" w:hAnsi="仿宋" w:eastAsia="仿宋" w:cs="仿宋"/>
          <w:sz w:val="32"/>
          <w:szCs w:val="32"/>
        </w:rPr>
        <w:t>（5）</w:t>
      </w:r>
      <w:r>
        <w:rPr>
          <w:rFonts w:hint="eastAsia" w:ascii="仿宋" w:hAnsi="仿宋" w:eastAsia="仿宋" w:cs="仿宋"/>
          <w:sz w:val="32"/>
          <w:szCs w:val="32"/>
          <w:lang w:eastAsia="zh-CN"/>
        </w:rPr>
        <w:t>扫黑除恶专项工作持续开展</w:t>
      </w:r>
      <w:r>
        <w:rPr>
          <w:rFonts w:hint="eastAsia" w:ascii="仿宋" w:hAnsi="仿宋" w:eastAsia="仿宋" w:cs="仿宋"/>
          <w:sz w:val="32"/>
          <w:szCs w:val="32"/>
        </w:rPr>
        <w:t xml:space="preserve">                                                                                   （6）</w:t>
      </w:r>
      <w:r>
        <w:rPr>
          <w:rFonts w:hint="eastAsia" w:ascii="仿宋" w:hAnsi="仿宋" w:eastAsia="仿宋" w:cs="仿宋"/>
          <w:sz w:val="32"/>
          <w:szCs w:val="32"/>
          <w:lang w:eastAsia="zh-CN"/>
        </w:rPr>
        <w:t>按时完成周工作动态，月工作情况上报</w:t>
      </w:r>
    </w:p>
    <w:p>
      <w:pPr>
        <w:spacing w:line="360" w:lineRule="auto"/>
        <w:ind w:firstLine="960" w:firstLineChars="300"/>
        <w:jc w:val="left"/>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eastAsia="zh-CN"/>
        </w:rPr>
        <w:t>按季度同《迪庆文化》投稿，全年投稿</w:t>
      </w:r>
      <w:r>
        <w:rPr>
          <w:rFonts w:hint="eastAsia" w:ascii="仿宋" w:hAnsi="仿宋" w:eastAsia="仿宋" w:cs="仿宋"/>
          <w:sz w:val="32"/>
          <w:szCs w:val="32"/>
          <w:lang w:val="en-US" w:eastAsia="zh-CN"/>
        </w:rPr>
        <w:t>26篇，其中发表16篇。</w:t>
      </w:r>
    </w:p>
    <w:p>
      <w:pPr>
        <w:spacing w:line="360" w:lineRule="auto"/>
        <w:ind w:firstLine="960" w:firstLineChars="300"/>
        <w:jc w:val="left"/>
        <w:rPr>
          <w:rFonts w:hint="eastAsia" w:ascii="仿宋" w:hAnsi="仿宋" w:eastAsia="仿宋" w:cs="仿宋"/>
        </w:rPr>
      </w:pP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eastAsia="zh-CN"/>
        </w:rPr>
        <w:t>工作目标的督促检查情况已完成。</w:t>
      </w:r>
    </w:p>
    <w:p>
      <w:pPr>
        <w:spacing w:line="360" w:lineRule="auto"/>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2、职能目标：</w:t>
      </w:r>
    </w:p>
    <w:p>
      <w:pPr>
        <w:spacing w:line="360" w:lineRule="auto"/>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（1）喜迎新中国成立70周年—“4·23”世界读书日全民阅读推广活动；举办“迪庆·记忆”展</w:t>
      </w:r>
      <w:r>
        <w:rPr>
          <w:rFonts w:hint="eastAsia" w:ascii="仿宋" w:hAnsi="仿宋" w:eastAsia="仿宋" w:cs="仿宋"/>
          <w:sz w:val="32"/>
          <w:szCs w:val="32"/>
        </w:rPr>
        <w:t>。</w:t>
      </w:r>
    </w:p>
    <w:p>
      <w:pPr>
        <w:spacing w:line="360" w:lineRule="auto"/>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（2）迪庆州香格里拉第十一届“读书杯”中小学生作文竞赛活动；举办“幼儿书画展”</w:t>
      </w:r>
    </w:p>
    <w:p>
      <w:pPr>
        <w:spacing w:line="360" w:lineRule="auto"/>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（3）举办“金秋诗会”系列活动。</w:t>
      </w:r>
    </w:p>
    <w:p>
      <w:pPr>
        <w:spacing w:line="360" w:lineRule="auto"/>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（4）举办第四届“敬老月”活动。</w:t>
      </w:r>
    </w:p>
    <w:p>
      <w:pPr>
        <w:spacing w:line="360" w:lineRule="auto"/>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（5）举办第三届“国学经典诵读”活动</w:t>
      </w:r>
    </w:p>
    <w:p>
      <w:pPr>
        <w:spacing w:line="360" w:lineRule="auto"/>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（6）加强错时延时服务，每周开馆不少于53小时</w:t>
      </w:r>
    </w:p>
    <w:p>
      <w:pPr>
        <w:spacing w:line="360" w:lineRule="auto"/>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（7）“扫黑除恶”专项工作</w:t>
      </w:r>
    </w:p>
    <w:p>
      <w:pPr>
        <w:topLinePunct/>
        <w:spacing w:line="360" w:lineRule="auto"/>
        <w:ind w:firstLine="803" w:firstLineChars="250"/>
        <w:rPr>
          <w:rFonts w:hint="eastAsia" w:ascii="仿宋" w:hAnsi="仿宋" w:eastAsia="仿宋" w:cs="仿宋"/>
          <w:b/>
          <w:bCs/>
          <w:sz w:val="32"/>
          <w:szCs w:val="32"/>
        </w:rPr>
      </w:pPr>
      <w:r>
        <w:rPr>
          <w:rFonts w:hint="eastAsia" w:ascii="仿宋" w:hAnsi="仿宋" w:eastAsia="仿宋" w:cs="仿宋"/>
          <w:b/>
          <w:bCs/>
          <w:sz w:val="32"/>
          <w:szCs w:val="32"/>
        </w:rPr>
        <w:t>（二）部门项目具体计划目标。</w:t>
      </w:r>
    </w:p>
    <w:p>
      <w:pPr>
        <w:pStyle w:val="2"/>
        <w:spacing w:before="0" w:after="0" w:line="360" w:lineRule="auto"/>
        <w:ind w:firstLine="602"/>
        <w:rPr>
          <w:rFonts w:hint="eastAsia" w:ascii="仿宋" w:hAnsi="仿宋" w:eastAsia="仿宋" w:cs="仿宋"/>
          <w:b w:val="0"/>
          <w:bCs w:val="0"/>
          <w:sz w:val="30"/>
          <w:szCs w:val="30"/>
        </w:rPr>
      </w:pPr>
      <w:r>
        <w:rPr>
          <w:rFonts w:hint="eastAsia" w:ascii="仿宋" w:hAnsi="仿宋" w:eastAsia="仿宋" w:cs="仿宋"/>
          <w:b w:val="0"/>
          <w:bCs w:val="0"/>
          <w:sz w:val="30"/>
          <w:szCs w:val="30"/>
        </w:rPr>
        <w:t>1、图书馆免费开放资金。</w:t>
      </w:r>
    </w:p>
    <w:p>
      <w:pPr>
        <w:pStyle w:val="2"/>
        <w:spacing w:before="0" w:after="0" w:line="360" w:lineRule="auto"/>
        <w:ind w:firstLine="602"/>
        <w:rPr>
          <w:rFonts w:hint="eastAsia" w:ascii="仿宋" w:hAnsi="仿宋" w:eastAsia="仿宋" w:cs="仿宋"/>
          <w:b w:val="0"/>
          <w:bCs w:val="0"/>
          <w:sz w:val="30"/>
          <w:szCs w:val="30"/>
        </w:rPr>
      </w:pPr>
      <w:r>
        <w:rPr>
          <w:rFonts w:hint="eastAsia" w:ascii="仿宋" w:hAnsi="仿宋" w:eastAsia="仿宋" w:cs="仿宋"/>
          <w:b w:val="0"/>
          <w:bCs w:val="0"/>
          <w:sz w:val="30"/>
          <w:szCs w:val="30"/>
        </w:rPr>
        <w:t>图书馆全部实现无障碍、零门槛进入，公共空间设施场地全部免费开放，所提供的基本服务项目全部免费。2019年服务人次9万以上，全年免费开放时间不低于200天，群众对国家基本公共文化服务满意度达到90%以上。通过图片、视频、专题活动、培训和讲座等多种展览形式，为观众提供优质、高效的公共文化服务体验。</w:t>
      </w:r>
    </w:p>
    <w:p>
      <w:pPr>
        <w:spacing w:line="360" w:lineRule="auto"/>
        <w:ind w:firstLine="602"/>
        <w:rPr>
          <w:rFonts w:hint="eastAsia" w:ascii="仿宋" w:hAnsi="仿宋" w:eastAsia="仿宋" w:cs="仿宋"/>
          <w:sz w:val="30"/>
          <w:szCs w:val="30"/>
        </w:rPr>
      </w:pPr>
      <w:r>
        <w:rPr>
          <w:rFonts w:hint="eastAsia" w:ascii="仿宋" w:hAnsi="仿宋" w:eastAsia="仿宋" w:cs="仿宋"/>
          <w:sz w:val="30"/>
          <w:szCs w:val="30"/>
        </w:rPr>
        <w:t>2、全年新建图书分馆，流动图书室共4个；全年组织开展读书分享会及电影展播12期以上；第四届“敬老月”活动已完成；第三届“国学经典诵读”活动三期已完成；“扫黑除恶”专项工作持续开展；按时完成周工作动态、月工作情况上报；按季度同《迪庆文化》投稿，全年投稿26篇，其中发表16篇；工作目标的督促检查情况已完成。</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中央补助地方公共文化服务体系建设专项资金。用于支持和引导地方落实国家基本公共文化服务指导标准和地方基本公共文化服务实施标准，促进基本公共文化服务标准化、均等化，保障群众基本文化权益，使图书馆基本公共文化服务水平稳步提升。资金使用范围包括提供基本公共文化服务项目、公共文化体育设施维修和设备购置、基层公共文化服务人才队伍建设以及基本公共文化服务其他项目。文化馆专项资金主要用于公共文化设施设备维修维护补助，公共文化服务体系建设设备购置及分馆及流动图书点服务。</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4.</w:t>
      </w:r>
      <w:r>
        <w:rPr>
          <w:rFonts w:hint="eastAsia" w:ascii="仿宋" w:hAnsi="仿宋" w:eastAsia="仿宋" w:cs="仿宋"/>
          <w:sz w:val="32"/>
          <w:szCs w:val="32"/>
        </w:rPr>
        <w:t>启动“纳格拉洞藏经”整理工作，完成“纳格拉洞藏经”修复成果图册初稿，同时向本级财政、州委宣传部积极申报项目，争取项目资金；通过对“纳格拉洞藏经”</w:t>
      </w:r>
      <w:r>
        <w:rPr>
          <w:rFonts w:hint="eastAsia" w:ascii="仿宋" w:hAnsi="仿宋" w:eastAsia="仿宋" w:cs="仿宋"/>
        </w:rPr>
        <w:t xml:space="preserve"> </w:t>
      </w:r>
      <w:r>
        <w:rPr>
          <w:rFonts w:hint="eastAsia" w:ascii="仿宋" w:hAnsi="仿宋" w:eastAsia="仿宋" w:cs="仿宋"/>
          <w:sz w:val="32"/>
          <w:szCs w:val="32"/>
        </w:rPr>
        <w:t>的保护、整理、研究、宣传，实施区域民族文化的保护、传承，弘扬民族传统优秀文化；同时，深度挖掘，整理好、研究好“纳格拉洞藏经”的社会、历史、艺术价值，讲好“纳格拉洞藏经”背后的故事，融入当前国家、省、州一级系列关于文旅游融合、乡村振兴发展战略，让“纳格拉洞藏经”研究成果服务于全州社会经济、文化、旅游事业的大发展。</w:t>
      </w:r>
      <w:r>
        <w:rPr>
          <w:rFonts w:hint="eastAsia" w:ascii="仿宋" w:hAnsi="仿宋" w:eastAsia="仿宋" w:cs="仿宋"/>
          <w:sz w:val="30"/>
          <w:szCs w:val="30"/>
        </w:rPr>
        <w:t>在保护和传承的基础上，不断的弘扬光大，使全州各族人民群众受益，子孙后代能够继续传承。</w:t>
      </w:r>
    </w:p>
    <w:p>
      <w:pPr>
        <w:topLinePunct/>
        <w:spacing w:line="360" w:lineRule="auto"/>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三、评价思路和过程</w:t>
      </w:r>
    </w:p>
    <w:p>
      <w:pPr>
        <w:topLinePunct/>
        <w:spacing w:line="360" w:lineRule="auto"/>
        <w:ind w:firstLine="803" w:firstLineChars="250"/>
        <w:rPr>
          <w:rFonts w:hint="eastAsia" w:ascii="仿宋" w:hAnsi="仿宋" w:eastAsia="仿宋" w:cs="仿宋"/>
          <w:sz w:val="30"/>
          <w:szCs w:val="30"/>
        </w:rPr>
      </w:pPr>
      <w:r>
        <w:rPr>
          <w:rFonts w:hint="eastAsia" w:ascii="仿宋" w:hAnsi="仿宋" w:eastAsia="仿宋" w:cs="仿宋"/>
          <w:b/>
          <w:bCs/>
          <w:sz w:val="32"/>
          <w:szCs w:val="32"/>
        </w:rPr>
        <w:t>（一）评价思路：</w:t>
      </w:r>
      <w:r>
        <w:rPr>
          <w:rFonts w:hint="eastAsia" w:ascii="仿宋" w:hAnsi="仿宋" w:eastAsia="仿宋" w:cs="仿宋"/>
          <w:sz w:val="30"/>
          <w:szCs w:val="30"/>
        </w:rPr>
        <w:t>确认当年度部门整体支出的绩效目标→梳理部门内部管理制度及存量资源→分析确定当年度部门整体支出的评价重点→构建绩效评价指标体系。</w:t>
      </w:r>
    </w:p>
    <w:p>
      <w:pPr>
        <w:adjustRightInd w:val="0"/>
        <w:spacing w:line="360" w:lineRule="auto"/>
        <w:ind w:firstLine="643" w:firstLineChars="200"/>
        <w:rPr>
          <w:rFonts w:hint="eastAsia" w:ascii="仿宋" w:hAnsi="仿宋" w:eastAsia="仿宋" w:cs="仿宋"/>
          <w:sz w:val="30"/>
          <w:szCs w:val="30"/>
        </w:rPr>
      </w:pPr>
      <w:r>
        <w:rPr>
          <w:rFonts w:hint="eastAsia" w:ascii="仿宋" w:hAnsi="仿宋" w:eastAsia="仿宋" w:cs="仿宋"/>
          <w:b/>
          <w:bCs/>
          <w:sz w:val="32"/>
          <w:szCs w:val="32"/>
        </w:rPr>
        <w:t>（二）评价目的。</w:t>
      </w:r>
      <w:r>
        <w:rPr>
          <w:rFonts w:hint="eastAsia" w:ascii="仿宋" w:hAnsi="仿宋" w:eastAsia="仿宋" w:cs="仿宋"/>
          <w:color w:val="000000"/>
          <w:kern w:val="0"/>
          <w:sz w:val="30"/>
          <w:szCs w:val="30"/>
        </w:rPr>
        <w:t>通过收集单位基本情况、预算制定与明细、部门中长期规划目标及组织架构等信息，分析单位资源配置的合理性及中长期规划目标完成与履职情况，总结经验做法，找出预算绩效管理中的薄弱环节，提出改进建议，提高财政资金的使用效益。</w:t>
      </w:r>
    </w:p>
    <w:p>
      <w:pPr>
        <w:topLinePunct/>
        <w:spacing w:line="360" w:lineRule="auto"/>
        <w:ind w:firstLine="803" w:firstLineChars="250"/>
        <w:rPr>
          <w:rFonts w:hint="eastAsia" w:ascii="仿宋" w:hAnsi="仿宋" w:eastAsia="仿宋" w:cs="仿宋"/>
          <w:b/>
          <w:bCs/>
          <w:sz w:val="32"/>
          <w:szCs w:val="32"/>
        </w:rPr>
      </w:pPr>
      <w:r>
        <w:rPr>
          <w:rFonts w:hint="eastAsia" w:ascii="仿宋" w:hAnsi="仿宋" w:eastAsia="仿宋" w:cs="仿宋"/>
          <w:b/>
          <w:bCs/>
          <w:sz w:val="32"/>
          <w:szCs w:val="32"/>
        </w:rPr>
        <w:t>（三）评价依据。</w:t>
      </w:r>
    </w:p>
    <w:p>
      <w:pPr>
        <w:pStyle w:val="2"/>
        <w:spacing w:before="0" w:after="0" w:line="360" w:lineRule="auto"/>
        <w:ind w:firstLine="600" w:firstLineChars="200"/>
        <w:rPr>
          <w:rFonts w:hint="eastAsia" w:ascii="仿宋" w:hAnsi="仿宋" w:eastAsia="仿宋" w:cs="仿宋"/>
          <w:b w:val="0"/>
          <w:bCs w:val="0"/>
          <w:color w:val="000000"/>
          <w:kern w:val="0"/>
          <w:sz w:val="30"/>
          <w:szCs w:val="30"/>
        </w:rPr>
      </w:pPr>
      <w:r>
        <w:rPr>
          <w:rFonts w:hint="eastAsia" w:ascii="仿宋" w:hAnsi="仿宋" w:eastAsia="仿宋" w:cs="仿宋"/>
          <w:b w:val="0"/>
          <w:bCs w:val="0"/>
          <w:color w:val="000000"/>
          <w:kern w:val="0"/>
          <w:sz w:val="30"/>
          <w:szCs w:val="30"/>
        </w:rPr>
        <w:t>部门整体支出绩效的评价依据为本年度预算项目下达批复 后，是否按照批复的支出进度完成资金的使用；在州级财政部门 下发的本级预算单位季度预算支出情况的通报中是否有被通报 的情况发生；年中是否向州级财政追加预算项目以及追加预算项 目所占全年预算金额的占比；年底是否按照预算批复完成资金的 使用等。</w:t>
      </w:r>
    </w:p>
    <w:p>
      <w:pPr>
        <w:numPr>
          <w:ilvl w:val="0"/>
          <w:numId w:val="3"/>
        </w:numPr>
        <w:topLinePunct/>
        <w:spacing w:line="360" w:lineRule="auto"/>
        <w:ind w:firstLine="803" w:firstLineChars="250"/>
        <w:rPr>
          <w:rFonts w:hint="eastAsia" w:ascii="仿宋" w:hAnsi="仿宋" w:eastAsia="仿宋" w:cs="仿宋"/>
          <w:b/>
          <w:bCs/>
          <w:sz w:val="32"/>
          <w:szCs w:val="32"/>
        </w:rPr>
      </w:pPr>
      <w:r>
        <w:rPr>
          <w:rFonts w:hint="eastAsia" w:ascii="仿宋" w:hAnsi="仿宋" w:eastAsia="仿宋" w:cs="仿宋"/>
          <w:b/>
          <w:bCs/>
          <w:sz w:val="32"/>
          <w:szCs w:val="32"/>
        </w:rPr>
        <w:t>评价对象及评价时段。</w:t>
      </w:r>
    </w:p>
    <w:p>
      <w:pPr>
        <w:pStyle w:val="11"/>
        <w:tabs>
          <w:tab w:val="left" w:pos="1157"/>
        </w:tabs>
        <w:spacing w:line="360" w:lineRule="auto"/>
        <w:ind w:firstLine="680"/>
        <w:rPr>
          <w:rFonts w:hint="eastAsia" w:ascii="仿宋" w:hAnsi="仿宋" w:eastAsia="仿宋" w:cs="仿宋"/>
        </w:rPr>
      </w:pPr>
      <w:bookmarkStart w:id="16" w:name="bookmark74"/>
      <w:r>
        <w:rPr>
          <w:rFonts w:hint="eastAsia" w:ascii="仿宋" w:hAnsi="仿宋" w:eastAsia="仿宋" w:cs="仿宋"/>
          <w:color w:val="000000"/>
        </w:rPr>
        <w:t>1</w:t>
      </w:r>
      <w:bookmarkEnd w:id="16"/>
      <w:r>
        <w:rPr>
          <w:rFonts w:hint="eastAsia" w:ascii="仿宋" w:hAnsi="仿宋" w:eastAsia="仿宋" w:cs="仿宋"/>
          <w:color w:val="000000"/>
        </w:rPr>
        <w:t>、</w:t>
      </w:r>
      <w:r>
        <w:rPr>
          <w:rFonts w:hint="eastAsia" w:ascii="仿宋" w:hAnsi="仿宋" w:eastAsia="仿宋" w:cs="仿宋"/>
          <w:color w:val="000000"/>
        </w:rPr>
        <w:tab/>
      </w:r>
      <w:r>
        <w:rPr>
          <w:rFonts w:hint="eastAsia" w:ascii="仿宋" w:hAnsi="仿宋" w:eastAsia="仿宋" w:cs="仿宋"/>
          <w:color w:val="000000"/>
        </w:rPr>
        <w:t>评价对象为年初</w:t>
      </w:r>
      <w:r>
        <w:rPr>
          <w:rFonts w:hint="eastAsia" w:ascii="仿宋" w:hAnsi="仿宋" w:eastAsia="仿宋" w:cs="仿宋"/>
          <w:color w:val="000000"/>
          <w:lang w:eastAsia="zh-CN"/>
        </w:rPr>
        <w:t>州</w:t>
      </w:r>
      <w:r>
        <w:rPr>
          <w:rFonts w:hint="eastAsia" w:ascii="仿宋" w:hAnsi="仿宋" w:eastAsia="仿宋" w:cs="仿宋"/>
          <w:color w:val="000000"/>
        </w:rPr>
        <w:t>级财政批复的部门预算的各项目以及用于单位基本支出（如办公费、工资、</w:t>
      </w:r>
      <w:r>
        <w:rPr>
          <w:rFonts w:hint="eastAsia" w:ascii="仿宋" w:hAnsi="仿宋" w:eastAsia="仿宋" w:cs="仿宋"/>
          <w:color w:val="000000"/>
          <w:lang w:eastAsia="zh-CN"/>
        </w:rPr>
        <w:t>社</w:t>
      </w:r>
      <w:r>
        <w:rPr>
          <w:rFonts w:hint="eastAsia" w:ascii="仿宋" w:hAnsi="仿宋" w:eastAsia="仿宋" w:cs="仿宋"/>
          <w:color w:val="000000"/>
        </w:rPr>
        <w:t>保</w:t>
      </w:r>
      <w:r>
        <w:rPr>
          <w:rFonts w:hint="eastAsia" w:ascii="仿宋" w:hAnsi="仿宋" w:eastAsia="仿宋" w:cs="仿宋"/>
          <w:color w:val="000000"/>
          <w:lang w:eastAsia="zh-CN"/>
        </w:rPr>
        <w:t>金</w:t>
      </w:r>
      <w:r>
        <w:rPr>
          <w:rFonts w:hint="eastAsia" w:ascii="仿宋" w:hAnsi="仿宋" w:eastAsia="仿宋" w:cs="仿宋"/>
          <w:color w:val="000000"/>
        </w:rPr>
        <w:t>等）的各项经费等。</w:t>
      </w:r>
    </w:p>
    <w:p>
      <w:pPr>
        <w:pStyle w:val="11"/>
        <w:tabs>
          <w:tab w:val="left" w:pos="1157"/>
        </w:tabs>
        <w:spacing w:line="360" w:lineRule="auto"/>
        <w:ind w:firstLine="680"/>
        <w:rPr>
          <w:rFonts w:hint="eastAsia" w:ascii="仿宋" w:hAnsi="仿宋" w:eastAsia="仿宋" w:cs="仿宋"/>
        </w:rPr>
      </w:pPr>
      <w:bookmarkStart w:id="17" w:name="bookmark75"/>
      <w:r>
        <w:rPr>
          <w:rFonts w:hint="eastAsia" w:ascii="仿宋" w:hAnsi="仿宋" w:eastAsia="仿宋" w:cs="仿宋"/>
          <w:color w:val="000000"/>
        </w:rPr>
        <w:t>2</w:t>
      </w:r>
      <w:bookmarkEnd w:id="17"/>
      <w:r>
        <w:rPr>
          <w:rFonts w:hint="eastAsia" w:ascii="仿宋" w:hAnsi="仿宋" w:eastAsia="仿宋" w:cs="仿宋"/>
          <w:color w:val="000000"/>
        </w:rPr>
        <w:t>、</w:t>
      </w:r>
      <w:r>
        <w:rPr>
          <w:rFonts w:hint="eastAsia" w:ascii="仿宋" w:hAnsi="仿宋" w:eastAsia="仿宋" w:cs="仿宋"/>
          <w:color w:val="000000"/>
        </w:rPr>
        <w:tab/>
      </w:r>
      <w:r>
        <w:rPr>
          <w:rFonts w:hint="eastAsia" w:ascii="仿宋" w:hAnsi="仿宋" w:eastAsia="仿宋" w:cs="仿宋"/>
          <w:color w:val="000000"/>
        </w:rPr>
        <w:t>评价时段为每季度末。</w:t>
      </w:r>
    </w:p>
    <w:p>
      <w:pPr>
        <w:topLinePunct/>
        <w:spacing w:line="360" w:lineRule="auto"/>
        <w:ind w:firstLine="750" w:firstLineChars="250"/>
        <w:rPr>
          <w:rFonts w:hint="eastAsia" w:ascii="仿宋" w:hAnsi="仿宋" w:eastAsia="仿宋" w:cs="仿宋"/>
          <w:sz w:val="30"/>
          <w:szCs w:val="30"/>
        </w:rPr>
      </w:pPr>
    </w:p>
    <w:p>
      <w:pPr>
        <w:topLinePunct/>
        <w:spacing w:line="360" w:lineRule="auto"/>
        <w:ind w:firstLine="904" w:firstLineChars="250"/>
        <w:rPr>
          <w:rFonts w:hint="eastAsia" w:ascii="仿宋" w:hAnsi="仿宋" w:eastAsia="仿宋" w:cs="仿宋"/>
          <w:b/>
          <w:bCs/>
          <w:sz w:val="36"/>
          <w:szCs w:val="36"/>
        </w:rPr>
      </w:pPr>
      <w:r>
        <w:rPr>
          <w:rFonts w:hint="eastAsia" w:ascii="仿宋" w:hAnsi="仿宋" w:eastAsia="仿宋" w:cs="仿宋"/>
          <w:b/>
          <w:bCs/>
          <w:sz w:val="36"/>
          <w:szCs w:val="36"/>
        </w:rPr>
        <w:t>四、评价结论和绩效分析</w:t>
      </w:r>
    </w:p>
    <w:p>
      <w:pPr>
        <w:topLinePunct/>
        <w:spacing w:line="360" w:lineRule="auto"/>
        <w:ind w:firstLine="803" w:firstLineChars="250"/>
        <w:rPr>
          <w:rFonts w:hint="eastAsia" w:ascii="仿宋" w:hAnsi="仿宋" w:eastAsia="仿宋" w:cs="仿宋"/>
          <w:b/>
          <w:bCs/>
          <w:sz w:val="32"/>
          <w:szCs w:val="32"/>
        </w:rPr>
      </w:pPr>
      <w:r>
        <w:rPr>
          <w:rFonts w:hint="eastAsia" w:ascii="仿宋" w:hAnsi="仿宋" w:eastAsia="仿宋" w:cs="仿宋"/>
          <w:b/>
          <w:bCs/>
          <w:sz w:val="32"/>
          <w:szCs w:val="32"/>
        </w:rPr>
        <w:t>（一）评价结论。</w:t>
      </w:r>
    </w:p>
    <w:p>
      <w:pPr>
        <w:topLinePunct/>
        <w:spacing w:line="360" w:lineRule="auto"/>
        <w:ind w:firstLine="753" w:firstLineChars="250"/>
        <w:rPr>
          <w:rFonts w:hint="eastAsia" w:ascii="仿宋" w:hAnsi="仿宋" w:eastAsia="仿宋" w:cs="仿宋"/>
          <w:b/>
          <w:bCs/>
          <w:sz w:val="30"/>
          <w:szCs w:val="30"/>
        </w:rPr>
      </w:pPr>
      <w:r>
        <w:rPr>
          <w:rFonts w:hint="eastAsia" w:ascii="仿宋" w:hAnsi="仿宋" w:eastAsia="仿宋" w:cs="仿宋"/>
          <w:b/>
          <w:bCs/>
          <w:sz w:val="30"/>
          <w:szCs w:val="30"/>
        </w:rPr>
        <w:t>1.评价结果。</w:t>
      </w:r>
    </w:p>
    <w:p>
      <w:pPr>
        <w:pStyle w:val="11"/>
        <w:spacing w:line="360" w:lineRule="auto"/>
        <w:ind w:firstLine="680"/>
        <w:rPr>
          <w:rFonts w:hint="eastAsia" w:ascii="仿宋" w:hAnsi="仿宋" w:eastAsia="仿宋" w:cs="仿宋"/>
        </w:rPr>
      </w:pPr>
      <w:r>
        <w:rPr>
          <w:rFonts w:hint="eastAsia" w:ascii="仿宋" w:hAnsi="仿宋" w:eastAsia="仿宋" w:cs="仿宋"/>
          <w:color w:val="000000"/>
          <w:lang w:eastAsia="zh-CN"/>
        </w:rPr>
        <w:t>迪庆州图书馆</w:t>
      </w:r>
      <w:r>
        <w:rPr>
          <w:rFonts w:hint="eastAsia" w:ascii="仿宋" w:hAnsi="仿宋" w:eastAsia="仿宋" w:cs="仿宋"/>
          <w:color w:val="000000"/>
        </w:rPr>
        <w:t>于20</w:t>
      </w:r>
      <w:r>
        <w:rPr>
          <w:rFonts w:hint="eastAsia" w:ascii="仿宋" w:hAnsi="仿宋" w:eastAsia="仿宋" w:cs="仿宋"/>
          <w:color w:val="000000"/>
          <w:lang w:val="en-US" w:eastAsia="zh-CN"/>
        </w:rPr>
        <w:t>20</w:t>
      </w:r>
      <w:r>
        <w:rPr>
          <w:rFonts w:hint="eastAsia" w:ascii="仿宋" w:hAnsi="仿宋" w:eastAsia="仿宋" w:cs="仿宋"/>
          <w:color w:val="000000"/>
        </w:rPr>
        <w:t>年5月2</w:t>
      </w:r>
      <w:r>
        <w:rPr>
          <w:rFonts w:hint="eastAsia" w:ascii="仿宋" w:hAnsi="仿宋" w:eastAsia="仿宋" w:cs="仿宋"/>
          <w:color w:val="000000"/>
          <w:lang w:val="en-US" w:eastAsia="zh-CN"/>
        </w:rPr>
        <w:t>5</w:t>
      </w:r>
      <w:r>
        <w:rPr>
          <w:rFonts w:hint="eastAsia" w:ascii="仿宋" w:hAnsi="仿宋" w:eastAsia="仿宋" w:cs="仿宋"/>
          <w:color w:val="000000"/>
        </w:rPr>
        <w:t>日完成了部门整体支出绩效自评及重点项目的自评工作，通过对201</w:t>
      </w:r>
      <w:r>
        <w:rPr>
          <w:rFonts w:hint="eastAsia" w:ascii="仿宋" w:hAnsi="仿宋" w:eastAsia="仿宋" w:cs="仿宋"/>
          <w:color w:val="000000"/>
          <w:lang w:val="en-US" w:eastAsia="zh-CN"/>
        </w:rPr>
        <w:t>9</w:t>
      </w:r>
      <w:r>
        <w:rPr>
          <w:rFonts w:hint="eastAsia" w:ascii="仿宋" w:hAnsi="仿宋" w:eastAsia="仿宋" w:cs="仿宋"/>
          <w:color w:val="000000"/>
        </w:rPr>
        <w:t>年整体支出的绩效目标设定、资金到位、资金管理、资产管理、财务管理、各项目产出、经济效益、社会效益等方面等进行了绩效评价。</w:t>
      </w:r>
      <w:r>
        <w:rPr>
          <w:rFonts w:hint="eastAsia" w:ascii="仿宋" w:hAnsi="仿宋" w:eastAsia="仿宋" w:cs="仿宋"/>
          <w:color w:val="000000"/>
          <w:lang w:eastAsia="zh-CN"/>
        </w:rPr>
        <w:t>本单位</w:t>
      </w:r>
      <w:r>
        <w:rPr>
          <w:rFonts w:hint="eastAsia" w:ascii="仿宋" w:hAnsi="仿宋" w:eastAsia="仿宋" w:cs="仿宋"/>
          <w:color w:val="000000"/>
        </w:rPr>
        <w:t>各项工作</w:t>
      </w:r>
      <w:r>
        <w:rPr>
          <w:rFonts w:hint="eastAsia" w:ascii="仿宋" w:hAnsi="仿宋" w:eastAsia="仿宋" w:cs="仿宋"/>
          <w:color w:val="000000"/>
          <w:lang w:eastAsia="zh-CN"/>
        </w:rPr>
        <w:t>均</w:t>
      </w:r>
      <w:r>
        <w:rPr>
          <w:rFonts w:hint="eastAsia" w:ascii="仿宋" w:hAnsi="仿宋" w:eastAsia="仿宋" w:cs="仿宋"/>
          <w:color w:val="000000"/>
        </w:rPr>
        <w:t>达到年初制定的目标。</w:t>
      </w:r>
    </w:p>
    <w:p>
      <w:pPr>
        <w:pStyle w:val="11"/>
        <w:spacing w:line="360" w:lineRule="auto"/>
        <w:ind w:firstLine="660"/>
        <w:rPr>
          <w:rFonts w:hint="eastAsia" w:ascii="仿宋" w:hAnsi="仿宋" w:eastAsia="仿宋" w:cs="仿宋"/>
          <w:color w:val="000000"/>
        </w:rPr>
      </w:pPr>
      <w:r>
        <w:rPr>
          <w:rFonts w:hint="eastAsia" w:ascii="仿宋" w:hAnsi="仿宋" w:eastAsia="仿宋" w:cs="仿宋"/>
          <w:color w:val="000000"/>
        </w:rPr>
        <w:t>单位的自评报告内容、格式按要求撰写，从自评结果来看， 单位在</w:t>
      </w:r>
      <w:r>
        <w:rPr>
          <w:rFonts w:hint="eastAsia" w:ascii="仿宋" w:hAnsi="仿宋" w:eastAsia="仿宋" w:cs="仿宋"/>
          <w:color w:val="000000"/>
          <w:lang w:eastAsia="zh-CN"/>
        </w:rPr>
        <w:t>群众文化</w:t>
      </w:r>
      <w:r>
        <w:rPr>
          <w:rFonts w:hint="eastAsia" w:ascii="仿宋" w:hAnsi="仿宋" w:eastAsia="仿宋" w:cs="仿宋"/>
          <w:color w:val="000000"/>
        </w:rPr>
        <w:t>服务、</w:t>
      </w:r>
      <w:r>
        <w:rPr>
          <w:rFonts w:hint="eastAsia" w:ascii="仿宋" w:hAnsi="仿宋" w:eastAsia="仿宋" w:cs="仿宋"/>
          <w:color w:val="000000"/>
          <w:lang w:eastAsia="zh-CN"/>
        </w:rPr>
        <w:t>图书馆免费开放</w:t>
      </w:r>
      <w:r>
        <w:rPr>
          <w:rFonts w:hint="eastAsia" w:ascii="仿宋" w:hAnsi="仿宋" w:eastAsia="仿宋" w:cs="仿宋"/>
          <w:color w:val="000000"/>
        </w:rPr>
        <w:t>等工作取得了良好的社会效益。经评价，201</w:t>
      </w:r>
      <w:r>
        <w:rPr>
          <w:rFonts w:hint="eastAsia" w:ascii="仿宋" w:hAnsi="仿宋" w:eastAsia="仿宋" w:cs="仿宋"/>
          <w:color w:val="000000"/>
          <w:lang w:val="en-US" w:eastAsia="zh-CN"/>
        </w:rPr>
        <w:t>9</w:t>
      </w:r>
      <w:r>
        <w:rPr>
          <w:rFonts w:hint="eastAsia" w:ascii="仿宋" w:hAnsi="仿宋" w:eastAsia="仿宋" w:cs="仿宋"/>
          <w:color w:val="000000"/>
        </w:rPr>
        <w:t>年度</w:t>
      </w:r>
      <w:r>
        <w:rPr>
          <w:rFonts w:hint="eastAsia" w:ascii="仿宋" w:hAnsi="仿宋" w:eastAsia="仿宋" w:cs="仿宋"/>
          <w:color w:val="000000"/>
          <w:lang w:eastAsia="zh-CN"/>
        </w:rPr>
        <w:t>本单位</w:t>
      </w:r>
      <w:r>
        <w:rPr>
          <w:rFonts w:hint="eastAsia" w:ascii="仿宋" w:hAnsi="仿宋" w:eastAsia="仿宋" w:cs="仿宋"/>
          <w:color w:val="000000"/>
        </w:rPr>
        <w:t>财政预算资金部门整体支出绩效评定等级为优。</w:t>
      </w:r>
    </w:p>
    <w:p>
      <w:pPr>
        <w:topLinePunct/>
        <w:spacing w:line="360" w:lineRule="auto"/>
        <w:ind w:firstLine="753" w:firstLineChars="250"/>
        <w:rPr>
          <w:rFonts w:hint="eastAsia" w:ascii="仿宋" w:hAnsi="仿宋" w:eastAsia="仿宋" w:cs="仿宋"/>
          <w:b/>
          <w:bCs/>
          <w:sz w:val="30"/>
          <w:szCs w:val="30"/>
        </w:rPr>
      </w:pPr>
      <w:r>
        <w:rPr>
          <w:rFonts w:hint="eastAsia" w:ascii="仿宋" w:hAnsi="仿宋" w:eastAsia="仿宋" w:cs="仿宋"/>
          <w:b/>
          <w:bCs/>
          <w:sz w:val="30"/>
          <w:szCs w:val="30"/>
        </w:rPr>
        <w:t>2.主要绩效。</w:t>
      </w:r>
    </w:p>
    <w:p>
      <w:pPr>
        <w:widowControl/>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color w:val="000000"/>
          <w:sz w:val="30"/>
          <w:szCs w:val="30"/>
          <w:lang w:val="zh-TW" w:eastAsia="zh-TW" w:bidi="zh-TW"/>
        </w:rPr>
        <w:t>主要绩效包含以下几个方面：部门基础工作、绩效目标管理、 绩效监控管理、绩效评价管理、评价结果应用。</w:t>
      </w:r>
      <w:r>
        <w:rPr>
          <w:rFonts w:hint="eastAsia" w:ascii="仿宋" w:hAnsi="仿宋" w:eastAsia="仿宋" w:cs="仿宋"/>
          <w:color w:val="000000"/>
          <w:sz w:val="30"/>
          <w:szCs w:val="30"/>
          <w:lang w:val="zh-TW" w:bidi="zh-TW"/>
        </w:rPr>
        <w:t>迪庆州图书馆</w:t>
      </w:r>
      <w:r>
        <w:rPr>
          <w:rFonts w:hint="eastAsia" w:ascii="仿宋" w:hAnsi="仿宋" w:eastAsia="仿宋" w:cs="仿宋"/>
          <w:color w:val="000000"/>
          <w:sz w:val="30"/>
          <w:szCs w:val="30"/>
          <w:lang w:val="zh-TW" w:eastAsia="zh-TW" w:bidi="zh-TW"/>
        </w:rPr>
        <w:t>各项经费严格按照部门预算批复予以支出， 完成了以下重点工作：</w:t>
      </w:r>
      <w:r>
        <w:rPr>
          <w:rFonts w:hint="eastAsia" w:ascii="仿宋" w:hAnsi="仿宋" w:eastAsia="仿宋" w:cs="仿宋"/>
          <w:color w:val="000000"/>
          <w:sz w:val="30"/>
          <w:szCs w:val="30"/>
          <w:lang w:bidi="zh-TW"/>
        </w:rPr>
        <w:t>图书馆全部实现无障碍、零门槛进入，公共空间设施场地全部免费开放，所提供的基本服务项目全部免费。2019年服务人次9万以上，全年免费开放时间不低于200天，通过图片、视频、专题活动、培训和讲座等多种展览形式，为观众提供优质、高效的公共文化服务体验。</w:t>
      </w:r>
      <w:r>
        <w:rPr>
          <w:rFonts w:hint="eastAsia" w:ascii="仿宋" w:hAnsi="仿宋" w:eastAsia="仿宋" w:cs="仿宋"/>
          <w:sz w:val="30"/>
          <w:szCs w:val="30"/>
        </w:rPr>
        <w:t>促进基本公共文化服务标准化、均等化，保障群众基本文化权益。</w:t>
      </w:r>
      <w:r>
        <w:rPr>
          <w:rFonts w:hint="eastAsia" w:ascii="仿宋" w:hAnsi="仿宋" w:eastAsia="仿宋" w:cs="仿宋"/>
          <w:color w:val="000000"/>
          <w:kern w:val="0"/>
          <w:sz w:val="30"/>
          <w:szCs w:val="30"/>
        </w:rPr>
        <w:t>开展对外社会文化交流，弘扬中华民族优秀文化。</w:t>
      </w:r>
    </w:p>
    <w:p>
      <w:pPr>
        <w:topLinePunct/>
        <w:spacing w:line="360" w:lineRule="auto"/>
        <w:ind w:firstLine="803" w:firstLineChars="250"/>
        <w:rPr>
          <w:rFonts w:hint="eastAsia" w:ascii="仿宋" w:hAnsi="仿宋" w:eastAsia="仿宋" w:cs="仿宋"/>
          <w:b/>
          <w:bCs/>
          <w:sz w:val="32"/>
          <w:szCs w:val="32"/>
        </w:rPr>
      </w:pPr>
      <w:r>
        <w:rPr>
          <w:rFonts w:hint="eastAsia" w:ascii="仿宋" w:hAnsi="仿宋" w:eastAsia="仿宋" w:cs="仿宋"/>
          <w:b/>
          <w:bCs/>
          <w:sz w:val="32"/>
          <w:szCs w:val="32"/>
        </w:rPr>
        <w:t>（二）具体绩效分析。</w:t>
      </w:r>
    </w:p>
    <w:p>
      <w:pPr>
        <w:pStyle w:val="11"/>
        <w:spacing w:line="360" w:lineRule="auto"/>
        <w:ind w:left="660" w:firstLine="0"/>
        <w:rPr>
          <w:rFonts w:hint="eastAsia" w:ascii="仿宋" w:hAnsi="仿宋" w:eastAsia="仿宋" w:cs="仿宋"/>
          <w:b/>
          <w:bCs/>
        </w:rPr>
      </w:pPr>
      <w:r>
        <w:rPr>
          <w:rFonts w:hint="eastAsia" w:ascii="仿宋" w:hAnsi="仿宋" w:eastAsia="仿宋" w:cs="仿宋"/>
          <w:b/>
          <w:bCs/>
          <w:color w:val="000000"/>
          <w:lang w:val="en-US" w:eastAsia="zh-CN"/>
        </w:rPr>
        <w:t>1.</w:t>
      </w:r>
      <w:r>
        <w:rPr>
          <w:rFonts w:hint="eastAsia" w:ascii="仿宋" w:hAnsi="仿宋" w:eastAsia="仿宋" w:cs="仿宋"/>
          <w:b/>
          <w:bCs/>
          <w:color w:val="000000"/>
        </w:rPr>
        <w:t>经济性分析</w:t>
      </w:r>
    </w:p>
    <w:p>
      <w:pPr>
        <w:pStyle w:val="11"/>
        <w:spacing w:line="360" w:lineRule="auto"/>
        <w:ind w:firstLine="660"/>
        <w:rPr>
          <w:rFonts w:hint="eastAsia" w:ascii="仿宋" w:hAnsi="仿宋" w:eastAsia="仿宋" w:cs="仿宋"/>
        </w:rPr>
      </w:pPr>
      <w:r>
        <w:rPr>
          <w:rFonts w:hint="eastAsia" w:ascii="仿宋" w:hAnsi="仿宋" w:eastAsia="仿宋" w:cs="仿宋"/>
          <w:color w:val="000000"/>
        </w:rPr>
        <w:t>201</w:t>
      </w:r>
      <w:r>
        <w:rPr>
          <w:rFonts w:hint="eastAsia" w:ascii="仿宋" w:hAnsi="仿宋" w:eastAsia="仿宋" w:cs="仿宋"/>
          <w:color w:val="000000"/>
          <w:lang w:val="en-US" w:eastAsia="zh-CN"/>
        </w:rPr>
        <w:t>9</w:t>
      </w:r>
      <w:r>
        <w:rPr>
          <w:rFonts w:hint="eastAsia" w:ascii="仿宋" w:hAnsi="仿宋" w:eastAsia="仿宋" w:cs="仿宋"/>
          <w:color w:val="000000"/>
        </w:rPr>
        <w:t>年</w:t>
      </w:r>
      <w:r>
        <w:rPr>
          <w:rFonts w:hint="eastAsia" w:ascii="仿宋" w:hAnsi="仿宋" w:eastAsia="仿宋" w:cs="仿宋"/>
          <w:color w:val="000000"/>
          <w:lang w:eastAsia="zh-CN"/>
        </w:rPr>
        <w:t>迪庆州图书馆</w:t>
      </w:r>
      <w:r>
        <w:rPr>
          <w:rFonts w:hint="eastAsia" w:ascii="仿宋" w:hAnsi="仿宋" w:eastAsia="仿宋" w:cs="仿宋"/>
          <w:color w:val="000000"/>
        </w:rPr>
        <w:t>年初项目预算资金拨付到位，并按照相关规定全部用于单位</w:t>
      </w:r>
      <w:r>
        <w:rPr>
          <w:rFonts w:hint="eastAsia" w:ascii="仿宋" w:hAnsi="仿宋" w:eastAsia="仿宋" w:cs="仿宋"/>
          <w:color w:val="000000"/>
          <w:lang w:eastAsia="zh-CN"/>
        </w:rPr>
        <w:t>各项</w:t>
      </w:r>
      <w:r>
        <w:rPr>
          <w:rFonts w:hint="eastAsia" w:ascii="仿宋" w:hAnsi="仿宋" w:eastAsia="仿宋" w:cs="仿宋"/>
          <w:color w:val="000000"/>
        </w:rPr>
        <w:t>支出，通过总结资金使用管理经验，完善资金管理办法，提高财政资金的使用效率，为以后年度编制项目预算、选择项目实施主体等提供参考依据。</w:t>
      </w:r>
    </w:p>
    <w:p>
      <w:pPr>
        <w:pStyle w:val="11"/>
        <w:tabs>
          <w:tab w:val="left" w:pos="1038"/>
        </w:tabs>
        <w:spacing w:line="360" w:lineRule="auto"/>
        <w:ind w:left="600" w:firstLine="0"/>
        <w:rPr>
          <w:rFonts w:hint="eastAsia" w:ascii="仿宋" w:hAnsi="仿宋" w:eastAsia="仿宋" w:cs="仿宋"/>
          <w:b/>
          <w:bCs/>
        </w:rPr>
      </w:pPr>
      <w:bookmarkStart w:id="18" w:name="bookmark80"/>
      <w:bookmarkEnd w:id="18"/>
      <w:r>
        <w:rPr>
          <w:rFonts w:hint="eastAsia" w:ascii="仿宋" w:hAnsi="仿宋" w:eastAsia="仿宋" w:cs="仿宋"/>
          <w:b/>
          <w:bCs/>
          <w:color w:val="000000"/>
          <w:lang w:val="en-US" w:eastAsia="zh-CN"/>
        </w:rPr>
        <w:t>2.</w:t>
      </w:r>
      <w:r>
        <w:rPr>
          <w:rFonts w:hint="eastAsia" w:ascii="仿宋" w:hAnsi="仿宋" w:eastAsia="仿宋" w:cs="仿宋"/>
          <w:b/>
          <w:bCs/>
          <w:color w:val="000000"/>
        </w:rPr>
        <w:t>效率性分析</w:t>
      </w:r>
    </w:p>
    <w:p>
      <w:pPr>
        <w:pStyle w:val="11"/>
        <w:spacing w:line="360" w:lineRule="auto"/>
        <w:ind w:firstLine="640"/>
        <w:rPr>
          <w:rFonts w:hint="eastAsia" w:ascii="仿宋" w:hAnsi="仿宋" w:eastAsia="仿宋" w:cs="仿宋"/>
        </w:rPr>
      </w:pPr>
      <w:r>
        <w:rPr>
          <w:rFonts w:hint="eastAsia" w:ascii="仿宋" w:hAnsi="仿宋" w:eastAsia="仿宋" w:cs="仿宋"/>
          <w:color w:val="000000"/>
          <w:lang w:eastAsia="zh-CN"/>
        </w:rPr>
        <w:t>迪庆州图书馆</w:t>
      </w:r>
      <w:r>
        <w:rPr>
          <w:rFonts w:hint="eastAsia" w:ascii="仿宋" w:hAnsi="仿宋" w:eastAsia="仿宋" w:cs="仿宋"/>
          <w:color w:val="000000"/>
        </w:rPr>
        <w:t>201</w:t>
      </w:r>
      <w:r>
        <w:rPr>
          <w:rFonts w:hint="eastAsia" w:ascii="仿宋" w:hAnsi="仿宋" w:eastAsia="仿宋" w:cs="仿宋"/>
          <w:color w:val="000000"/>
          <w:lang w:val="en-US" w:eastAsia="zh-CN"/>
        </w:rPr>
        <w:t>9</w:t>
      </w:r>
      <w:r>
        <w:rPr>
          <w:rFonts w:hint="eastAsia" w:ascii="仿宋" w:hAnsi="仿宋" w:eastAsia="仿宋" w:cs="仿宋"/>
          <w:color w:val="000000"/>
        </w:rPr>
        <w:t>年部门整体支出绩效情况良好，各</w:t>
      </w:r>
      <w:r>
        <w:rPr>
          <w:rFonts w:hint="eastAsia" w:ascii="仿宋" w:hAnsi="仿宋" w:eastAsia="仿宋" w:cs="仿宋"/>
          <w:color w:val="000000"/>
          <w:lang w:eastAsia="zh-CN"/>
        </w:rPr>
        <w:t>部</w:t>
      </w:r>
      <w:r>
        <w:rPr>
          <w:rFonts w:hint="eastAsia" w:ascii="仿宋" w:hAnsi="仿宋" w:eastAsia="仿宋" w:cs="仿宋"/>
          <w:color w:val="000000"/>
        </w:rPr>
        <w:t>室均按年初设定的目标任务执行效率完成各项工作。</w:t>
      </w:r>
    </w:p>
    <w:p>
      <w:pPr>
        <w:pStyle w:val="11"/>
        <w:tabs>
          <w:tab w:val="left" w:pos="1038"/>
        </w:tabs>
        <w:spacing w:line="360" w:lineRule="auto"/>
        <w:ind w:left="640" w:firstLine="0"/>
        <w:rPr>
          <w:rFonts w:hint="eastAsia" w:ascii="仿宋" w:hAnsi="仿宋" w:eastAsia="仿宋" w:cs="仿宋"/>
          <w:b/>
          <w:bCs/>
        </w:rPr>
      </w:pPr>
      <w:bookmarkStart w:id="19" w:name="bookmark81"/>
      <w:bookmarkEnd w:id="19"/>
      <w:r>
        <w:rPr>
          <w:rFonts w:hint="eastAsia" w:ascii="仿宋" w:hAnsi="仿宋" w:eastAsia="仿宋" w:cs="仿宋"/>
          <w:b/>
          <w:bCs/>
          <w:color w:val="000000"/>
          <w:lang w:val="en-US" w:eastAsia="zh-CN"/>
        </w:rPr>
        <w:t>3.</w:t>
      </w:r>
      <w:r>
        <w:rPr>
          <w:rFonts w:hint="eastAsia" w:ascii="仿宋" w:hAnsi="仿宋" w:eastAsia="仿宋" w:cs="仿宋"/>
          <w:b/>
          <w:bCs/>
          <w:color w:val="000000"/>
        </w:rPr>
        <w:t>效益性分析</w:t>
      </w:r>
    </w:p>
    <w:p>
      <w:pPr>
        <w:pStyle w:val="11"/>
        <w:spacing w:line="360" w:lineRule="auto"/>
        <w:ind w:firstLine="640"/>
        <w:rPr>
          <w:rFonts w:hint="eastAsia" w:ascii="仿宋" w:hAnsi="仿宋" w:eastAsia="仿宋" w:cs="仿宋"/>
          <w:color w:val="000000"/>
        </w:rPr>
      </w:pPr>
      <w:r>
        <w:rPr>
          <w:rFonts w:hint="eastAsia" w:ascii="仿宋" w:hAnsi="仿宋" w:eastAsia="仿宋" w:cs="仿宋"/>
          <w:color w:val="000000"/>
          <w:lang w:eastAsia="zh-CN"/>
        </w:rPr>
        <w:t>迪庆州图书馆</w:t>
      </w:r>
      <w:r>
        <w:rPr>
          <w:rFonts w:hint="eastAsia" w:ascii="仿宋" w:hAnsi="仿宋" w:eastAsia="仿宋" w:cs="仿宋"/>
          <w:color w:val="000000"/>
        </w:rPr>
        <w:t>较好地完成了201</w:t>
      </w:r>
      <w:r>
        <w:rPr>
          <w:rFonts w:hint="eastAsia" w:ascii="仿宋" w:hAnsi="仿宋" w:eastAsia="仿宋" w:cs="仿宋"/>
          <w:color w:val="000000"/>
          <w:lang w:val="en-US" w:eastAsia="zh-CN"/>
        </w:rPr>
        <w:t>9</w:t>
      </w:r>
      <w:r>
        <w:rPr>
          <w:rFonts w:hint="eastAsia" w:ascii="仿宋" w:hAnsi="仿宋" w:eastAsia="仿宋" w:cs="仿宋"/>
          <w:color w:val="000000"/>
        </w:rPr>
        <w:t>年初设定的工作任务，201</w:t>
      </w:r>
      <w:r>
        <w:rPr>
          <w:rFonts w:hint="eastAsia" w:ascii="仿宋" w:hAnsi="仿宋" w:eastAsia="仿宋" w:cs="仿宋"/>
          <w:color w:val="000000"/>
          <w:lang w:val="en-US" w:eastAsia="zh-CN"/>
        </w:rPr>
        <w:t>9</w:t>
      </w:r>
      <w:r>
        <w:rPr>
          <w:rFonts w:hint="eastAsia" w:ascii="仿宋" w:hAnsi="仿宋" w:eastAsia="仿宋" w:cs="仿宋"/>
          <w:color w:val="000000"/>
        </w:rPr>
        <w:t>年专项经费实际支出未超出预算规定，保障了</w:t>
      </w:r>
      <w:r>
        <w:rPr>
          <w:rFonts w:hint="eastAsia" w:ascii="仿宋" w:hAnsi="仿宋" w:eastAsia="仿宋" w:cs="仿宋"/>
          <w:color w:val="000000"/>
          <w:lang w:eastAsia="zh-CN"/>
        </w:rPr>
        <w:t>图书馆免费开放和群众文化</w:t>
      </w:r>
      <w:r>
        <w:rPr>
          <w:rFonts w:hint="eastAsia" w:ascii="仿宋" w:hAnsi="仿宋" w:eastAsia="仿宋" w:cs="仿宋"/>
          <w:color w:val="000000"/>
        </w:rPr>
        <w:t>服务工作。</w:t>
      </w:r>
      <w:r>
        <w:rPr>
          <w:rFonts w:hint="eastAsia" w:ascii="仿宋" w:hAnsi="仿宋" w:eastAsia="仿宋" w:cs="仿宋"/>
          <w:color w:val="000000"/>
          <w:lang w:eastAsia="zh-CN"/>
        </w:rPr>
        <w:t>本单位</w:t>
      </w:r>
      <w:r>
        <w:rPr>
          <w:rFonts w:hint="eastAsia" w:ascii="仿宋" w:hAnsi="仿宋" w:eastAsia="仿宋" w:cs="仿宋"/>
          <w:color w:val="000000"/>
        </w:rPr>
        <w:t>认真履行工作职责，及时完成年初制定的工作任务，质量达标率100%。</w:t>
      </w:r>
    </w:p>
    <w:p>
      <w:pPr>
        <w:pStyle w:val="11"/>
        <w:spacing w:line="360" w:lineRule="auto"/>
        <w:ind w:firstLine="640"/>
        <w:rPr>
          <w:rFonts w:hint="eastAsia" w:ascii="仿宋" w:hAnsi="仿宋" w:eastAsia="仿宋" w:cs="仿宋"/>
          <w:color w:val="000000"/>
        </w:rPr>
      </w:pPr>
    </w:p>
    <w:p>
      <w:pPr>
        <w:topLinePunct/>
        <w:spacing w:line="360" w:lineRule="auto"/>
        <w:ind w:firstLine="904" w:firstLineChars="250"/>
        <w:rPr>
          <w:rFonts w:hint="eastAsia" w:ascii="仿宋" w:hAnsi="仿宋" w:eastAsia="仿宋" w:cs="仿宋"/>
          <w:b/>
          <w:bCs/>
          <w:sz w:val="36"/>
          <w:szCs w:val="36"/>
        </w:rPr>
      </w:pPr>
      <w:r>
        <w:rPr>
          <w:rFonts w:hint="eastAsia" w:ascii="仿宋" w:hAnsi="仿宋" w:eastAsia="仿宋" w:cs="仿宋"/>
          <w:b/>
          <w:bCs/>
          <w:sz w:val="36"/>
          <w:szCs w:val="36"/>
        </w:rPr>
        <w:t>五、主要经验做法</w:t>
      </w:r>
    </w:p>
    <w:p>
      <w:pPr>
        <w:pStyle w:val="11"/>
        <w:tabs>
          <w:tab w:val="left" w:pos="1219"/>
        </w:tabs>
        <w:spacing w:line="360" w:lineRule="auto"/>
        <w:ind w:firstLine="640"/>
        <w:rPr>
          <w:rFonts w:hint="eastAsia" w:ascii="仿宋" w:hAnsi="仿宋" w:eastAsia="仿宋" w:cs="仿宋"/>
        </w:rPr>
      </w:pPr>
      <w:bookmarkStart w:id="20" w:name="bookmark83"/>
      <w:r>
        <w:rPr>
          <w:rFonts w:hint="eastAsia" w:ascii="仿宋" w:hAnsi="仿宋" w:eastAsia="仿宋" w:cs="仿宋"/>
          <w:color w:val="000000"/>
        </w:rPr>
        <w:t>1</w:t>
      </w:r>
      <w:bookmarkEnd w:id="20"/>
      <w:r>
        <w:rPr>
          <w:rFonts w:hint="eastAsia" w:ascii="仿宋" w:hAnsi="仿宋" w:eastAsia="仿宋" w:cs="仿宋"/>
          <w:color w:val="000000"/>
        </w:rPr>
        <w:t>、</w:t>
      </w:r>
      <w:r>
        <w:rPr>
          <w:rFonts w:hint="eastAsia" w:ascii="仿宋" w:hAnsi="仿宋" w:eastAsia="仿宋" w:cs="仿宋"/>
          <w:color w:val="000000"/>
        </w:rPr>
        <w:tab/>
      </w:r>
      <w:r>
        <w:rPr>
          <w:rFonts w:hint="eastAsia" w:ascii="仿宋" w:hAnsi="仿宋" w:eastAsia="仿宋" w:cs="仿宋"/>
          <w:color w:val="000000"/>
        </w:rPr>
        <w:t>提前与各部门沟通次年预算相关情况，尽可能细化相关 支出明细；</w:t>
      </w:r>
    </w:p>
    <w:p>
      <w:pPr>
        <w:pStyle w:val="11"/>
        <w:tabs>
          <w:tab w:val="left" w:pos="1038"/>
        </w:tabs>
        <w:spacing w:line="360" w:lineRule="auto"/>
        <w:ind w:firstLine="600"/>
        <w:rPr>
          <w:rFonts w:hint="eastAsia" w:ascii="仿宋" w:hAnsi="仿宋" w:eastAsia="仿宋" w:cs="仿宋"/>
        </w:rPr>
      </w:pPr>
      <w:bookmarkStart w:id="21" w:name="bookmark84"/>
      <w:r>
        <w:rPr>
          <w:rFonts w:hint="eastAsia" w:ascii="仿宋" w:hAnsi="仿宋" w:eastAsia="仿宋" w:cs="仿宋"/>
          <w:color w:val="000000"/>
        </w:rPr>
        <w:t>2</w:t>
      </w:r>
      <w:bookmarkEnd w:id="21"/>
      <w:r>
        <w:rPr>
          <w:rFonts w:hint="eastAsia" w:ascii="仿宋" w:hAnsi="仿宋" w:eastAsia="仿宋" w:cs="仿宋"/>
          <w:color w:val="000000"/>
        </w:rPr>
        <w:t>、</w:t>
      </w:r>
      <w:r>
        <w:rPr>
          <w:rFonts w:hint="eastAsia" w:ascii="仿宋" w:hAnsi="仿宋" w:eastAsia="仿宋" w:cs="仿宋"/>
          <w:color w:val="000000"/>
        </w:rPr>
        <w:tab/>
      </w:r>
      <w:r>
        <w:rPr>
          <w:rFonts w:hint="eastAsia" w:ascii="仿宋" w:hAnsi="仿宋" w:eastAsia="仿宋" w:cs="仿宋"/>
          <w:color w:val="000000"/>
        </w:rPr>
        <w:t>提前收集相关文件资料，为预算提供文件支撑；</w:t>
      </w:r>
    </w:p>
    <w:p>
      <w:pPr>
        <w:pStyle w:val="11"/>
        <w:tabs>
          <w:tab w:val="left" w:pos="1038"/>
        </w:tabs>
        <w:spacing w:line="360" w:lineRule="auto"/>
        <w:ind w:firstLine="600"/>
        <w:rPr>
          <w:rFonts w:hint="eastAsia" w:ascii="仿宋" w:hAnsi="仿宋" w:eastAsia="仿宋" w:cs="仿宋"/>
        </w:rPr>
      </w:pPr>
      <w:bookmarkStart w:id="22" w:name="bookmark85"/>
      <w:r>
        <w:rPr>
          <w:rFonts w:hint="eastAsia" w:ascii="仿宋" w:hAnsi="仿宋" w:eastAsia="仿宋" w:cs="仿宋"/>
          <w:color w:val="000000"/>
        </w:rPr>
        <w:t>3</w:t>
      </w:r>
      <w:bookmarkEnd w:id="22"/>
      <w:r>
        <w:rPr>
          <w:rFonts w:hint="eastAsia" w:ascii="仿宋" w:hAnsi="仿宋" w:eastAsia="仿宋" w:cs="仿宋"/>
          <w:color w:val="000000"/>
        </w:rPr>
        <w:t>、</w:t>
      </w:r>
      <w:r>
        <w:rPr>
          <w:rFonts w:hint="eastAsia" w:ascii="仿宋" w:hAnsi="仿宋" w:eastAsia="仿宋" w:cs="仿宋"/>
          <w:color w:val="000000"/>
        </w:rPr>
        <w:tab/>
      </w:r>
      <w:r>
        <w:rPr>
          <w:rFonts w:hint="eastAsia" w:ascii="仿宋" w:hAnsi="仿宋" w:eastAsia="仿宋" w:cs="仿宋"/>
          <w:color w:val="000000"/>
        </w:rPr>
        <w:t>支出绩效监控定时开展，及时催办项目进度；</w:t>
      </w:r>
    </w:p>
    <w:p>
      <w:pPr>
        <w:pStyle w:val="11"/>
        <w:tabs>
          <w:tab w:val="left" w:pos="1038"/>
        </w:tabs>
        <w:spacing w:line="360" w:lineRule="auto"/>
        <w:ind w:firstLine="600"/>
        <w:rPr>
          <w:rFonts w:hint="eastAsia" w:ascii="仿宋" w:hAnsi="仿宋" w:eastAsia="仿宋" w:cs="仿宋"/>
          <w:color w:val="000000"/>
        </w:rPr>
      </w:pPr>
      <w:bookmarkStart w:id="23" w:name="bookmark86"/>
      <w:r>
        <w:rPr>
          <w:rFonts w:hint="eastAsia" w:ascii="仿宋" w:hAnsi="仿宋" w:eastAsia="仿宋" w:cs="仿宋"/>
          <w:color w:val="000000"/>
        </w:rPr>
        <w:t>4</w:t>
      </w:r>
      <w:bookmarkEnd w:id="23"/>
      <w:r>
        <w:rPr>
          <w:rFonts w:hint="eastAsia" w:ascii="仿宋" w:hAnsi="仿宋" w:eastAsia="仿宋" w:cs="仿宋"/>
          <w:color w:val="000000"/>
        </w:rPr>
        <w:t>、</w:t>
      </w:r>
      <w:r>
        <w:rPr>
          <w:rFonts w:hint="eastAsia" w:ascii="仿宋" w:hAnsi="仿宋" w:eastAsia="仿宋" w:cs="仿宋"/>
          <w:color w:val="000000"/>
        </w:rPr>
        <w:tab/>
      </w:r>
      <w:r>
        <w:rPr>
          <w:rFonts w:hint="eastAsia" w:ascii="仿宋" w:hAnsi="仿宋" w:eastAsia="仿宋" w:cs="仿宋"/>
          <w:color w:val="000000"/>
        </w:rPr>
        <w:t>完善绩效管理流程。</w:t>
      </w:r>
    </w:p>
    <w:p>
      <w:pPr>
        <w:pStyle w:val="11"/>
        <w:tabs>
          <w:tab w:val="left" w:pos="1038"/>
        </w:tabs>
        <w:spacing w:line="360" w:lineRule="auto"/>
        <w:ind w:firstLine="600"/>
        <w:rPr>
          <w:rFonts w:hint="eastAsia" w:ascii="仿宋" w:hAnsi="仿宋" w:eastAsia="仿宋" w:cs="仿宋"/>
          <w:color w:val="000000"/>
        </w:rPr>
      </w:pPr>
    </w:p>
    <w:p>
      <w:pPr>
        <w:topLinePunct/>
        <w:spacing w:line="360" w:lineRule="auto"/>
        <w:ind w:firstLine="904" w:firstLineChars="250"/>
        <w:rPr>
          <w:rFonts w:hint="eastAsia" w:ascii="仿宋" w:hAnsi="仿宋" w:eastAsia="仿宋" w:cs="仿宋"/>
          <w:b/>
          <w:bCs/>
          <w:sz w:val="36"/>
          <w:szCs w:val="36"/>
        </w:rPr>
      </w:pPr>
      <w:r>
        <w:rPr>
          <w:rFonts w:hint="eastAsia" w:ascii="仿宋" w:hAnsi="仿宋" w:eastAsia="仿宋" w:cs="仿宋"/>
          <w:b/>
          <w:bCs/>
          <w:sz w:val="36"/>
          <w:szCs w:val="36"/>
        </w:rPr>
        <w:t>六、存在的问题</w:t>
      </w:r>
    </w:p>
    <w:p>
      <w:pPr>
        <w:pStyle w:val="11"/>
        <w:tabs>
          <w:tab w:val="left" w:pos="1038"/>
        </w:tabs>
        <w:spacing w:line="360" w:lineRule="auto"/>
        <w:ind w:firstLine="607"/>
        <w:rPr>
          <w:rFonts w:hint="eastAsia" w:ascii="仿宋" w:hAnsi="仿宋" w:eastAsia="仿宋" w:cs="仿宋"/>
        </w:rPr>
      </w:pPr>
      <w:bookmarkStart w:id="24" w:name="bookmark88"/>
      <w:r>
        <w:rPr>
          <w:rFonts w:hint="eastAsia" w:ascii="仿宋" w:hAnsi="仿宋" w:eastAsia="仿宋" w:cs="仿宋"/>
          <w:color w:val="000000"/>
        </w:rPr>
        <w:t>1</w:t>
      </w:r>
      <w:bookmarkEnd w:id="24"/>
      <w:r>
        <w:rPr>
          <w:rFonts w:hint="eastAsia" w:ascii="仿宋" w:hAnsi="仿宋" w:eastAsia="仿宋" w:cs="仿宋"/>
          <w:color w:val="000000"/>
        </w:rPr>
        <w:t>、</w:t>
      </w:r>
      <w:r>
        <w:rPr>
          <w:rFonts w:hint="eastAsia" w:ascii="仿宋" w:hAnsi="仿宋" w:eastAsia="仿宋" w:cs="仿宋"/>
          <w:color w:val="000000"/>
        </w:rPr>
        <w:tab/>
      </w:r>
      <w:r>
        <w:rPr>
          <w:rFonts w:hint="eastAsia" w:ascii="仿宋" w:hAnsi="仿宋" w:eastAsia="仿宋" w:cs="仿宋"/>
          <w:color w:val="000000"/>
        </w:rPr>
        <w:t>预算编制细化程度不足；</w:t>
      </w:r>
    </w:p>
    <w:p>
      <w:pPr>
        <w:pStyle w:val="11"/>
        <w:tabs>
          <w:tab w:val="left" w:pos="1038"/>
        </w:tabs>
        <w:spacing w:line="360" w:lineRule="auto"/>
        <w:ind w:firstLine="607"/>
        <w:rPr>
          <w:rFonts w:hint="eastAsia" w:ascii="仿宋" w:hAnsi="仿宋" w:eastAsia="仿宋" w:cs="仿宋"/>
        </w:rPr>
      </w:pPr>
      <w:bookmarkStart w:id="25" w:name="bookmark89"/>
      <w:r>
        <w:rPr>
          <w:rFonts w:hint="eastAsia" w:ascii="仿宋" w:hAnsi="仿宋" w:eastAsia="仿宋" w:cs="仿宋"/>
          <w:color w:val="000000"/>
        </w:rPr>
        <w:t>2</w:t>
      </w:r>
      <w:bookmarkEnd w:id="25"/>
      <w:r>
        <w:rPr>
          <w:rFonts w:hint="eastAsia" w:ascii="仿宋" w:hAnsi="仿宋" w:eastAsia="仿宋" w:cs="仿宋"/>
          <w:color w:val="000000"/>
        </w:rPr>
        <w:t>、</w:t>
      </w:r>
      <w:r>
        <w:rPr>
          <w:rFonts w:hint="eastAsia" w:ascii="仿宋" w:hAnsi="仿宋" w:eastAsia="仿宋" w:cs="仿宋"/>
          <w:color w:val="000000"/>
        </w:rPr>
        <w:tab/>
      </w:r>
      <w:r>
        <w:rPr>
          <w:rFonts w:hint="eastAsia" w:ascii="仿宋" w:hAnsi="仿宋" w:eastAsia="仿宋" w:cs="仿宋"/>
          <w:color w:val="000000"/>
        </w:rPr>
        <w:t>预算执行控制不严格；</w:t>
      </w:r>
    </w:p>
    <w:p>
      <w:pPr>
        <w:pStyle w:val="11"/>
        <w:tabs>
          <w:tab w:val="left" w:pos="1038"/>
        </w:tabs>
        <w:spacing w:line="360" w:lineRule="auto"/>
        <w:ind w:firstLine="607"/>
        <w:rPr>
          <w:rFonts w:hint="eastAsia" w:ascii="仿宋" w:hAnsi="仿宋" w:eastAsia="仿宋" w:cs="仿宋"/>
          <w:color w:val="000000"/>
        </w:rPr>
      </w:pPr>
      <w:bookmarkStart w:id="26" w:name="bookmark90"/>
      <w:r>
        <w:rPr>
          <w:rFonts w:hint="eastAsia" w:ascii="仿宋" w:hAnsi="仿宋" w:eastAsia="仿宋" w:cs="仿宋"/>
          <w:color w:val="000000"/>
        </w:rPr>
        <w:t>3</w:t>
      </w:r>
      <w:bookmarkEnd w:id="26"/>
      <w:r>
        <w:rPr>
          <w:rFonts w:hint="eastAsia" w:ascii="仿宋" w:hAnsi="仿宋" w:eastAsia="仿宋" w:cs="仿宋"/>
          <w:color w:val="000000"/>
        </w:rPr>
        <w:t>、</w:t>
      </w:r>
      <w:r>
        <w:rPr>
          <w:rFonts w:hint="eastAsia" w:ascii="仿宋" w:hAnsi="仿宋" w:eastAsia="仿宋" w:cs="仿宋"/>
          <w:color w:val="000000"/>
        </w:rPr>
        <w:tab/>
      </w:r>
      <w:r>
        <w:rPr>
          <w:rFonts w:hint="eastAsia" w:ascii="仿宋" w:hAnsi="仿宋" w:eastAsia="仿宋" w:cs="仿宋"/>
          <w:color w:val="000000"/>
        </w:rPr>
        <w:t>预算绩效管理不完善。</w:t>
      </w:r>
    </w:p>
    <w:p>
      <w:pPr>
        <w:pStyle w:val="11"/>
        <w:tabs>
          <w:tab w:val="left" w:pos="1038"/>
        </w:tabs>
        <w:spacing w:line="360" w:lineRule="auto"/>
        <w:ind w:firstLine="600"/>
        <w:rPr>
          <w:rFonts w:hint="eastAsia" w:ascii="仿宋" w:hAnsi="仿宋" w:eastAsia="仿宋" w:cs="仿宋"/>
          <w:color w:val="000000"/>
          <w:lang w:eastAsia="zh-CN"/>
        </w:rPr>
      </w:pPr>
    </w:p>
    <w:p>
      <w:pPr>
        <w:topLinePunct/>
        <w:spacing w:line="360" w:lineRule="auto"/>
        <w:ind w:firstLine="904" w:firstLineChars="250"/>
        <w:rPr>
          <w:rFonts w:hint="eastAsia" w:ascii="仿宋" w:hAnsi="仿宋" w:eastAsia="仿宋" w:cs="仿宋"/>
          <w:b/>
          <w:bCs/>
          <w:sz w:val="36"/>
          <w:szCs w:val="36"/>
        </w:rPr>
      </w:pPr>
      <w:r>
        <w:rPr>
          <w:rFonts w:hint="eastAsia" w:ascii="仿宋" w:hAnsi="仿宋" w:eastAsia="仿宋" w:cs="仿宋"/>
          <w:b/>
          <w:bCs/>
          <w:sz w:val="36"/>
          <w:szCs w:val="36"/>
        </w:rPr>
        <w:t>七、改进措施及建议</w:t>
      </w:r>
    </w:p>
    <w:p>
      <w:pPr>
        <w:pStyle w:val="11"/>
        <w:tabs>
          <w:tab w:val="left" w:pos="1118"/>
        </w:tabs>
        <w:spacing w:line="360" w:lineRule="auto"/>
        <w:ind w:firstLine="660"/>
        <w:rPr>
          <w:rFonts w:hint="eastAsia" w:ascii="仿宋" w:hAnsi="仿宋" w:eastAsia="仿宋" w:cs="仿宋"/>
          <w:b/>
          <w:bCs/>
          <w:sz w:val="32"/>
          <w:szCs w:val="32"/>
        </w:rPr>
      </w:pPr>
      <w:bookmarkStart w:id="27" w:name="bookmark92"/>
      <w:r>
        <w:rPr>
          <w:rFonts w:hint="eastAsia" w:ascii="仿宋" w:hAnsi="仿宋" w:eastAsia="仿宋" w:cs="仿宋"/>
          <w:b/>
          <w:bCs/>
          <w:color w:val="000000"/>
          <w:sz w:val="32"/>
          <w:szCs w:val="32"/>
          <w:lang w:val="zh-CN" w:eastAsia="zh-CN" w:bidi="zh-CN"/>
        </w:rPr>
        <w:t>1</w:t>
      </w:r>
      <w:bookmarkEnd w:id="27"/>
      <w:r>
        <w:rPr>
          <w:rFonts w:hint="eastAsia" w:ascii="仿宋" w:hAnsi="仿宋" w:eastAsia="仿宋" w:cs="仿宋"/>
          <w:b/>
          <w:bCs/>
          <w:color w:val="000000"/>
          <w:sz w:val="32"/>
          <w:szCs w:val="32"/>
          <w:lang w:val="zh-CN" w:eastAsia="zh-CN" w:bidi="zh-CN"/>
        </w:rPr>
        <w:t>、</w:t>
      </w:r>
      <w:r>
        <w:rPr>
          <w:rFonts w:hint="eastAsia" w:ascii="仿宋" w:hAnsi="仿宋" w:eastAsia="仿宋" w:cs="仿宋"/>
          <w:b/>
          <w:bCs/>
          <w:color w:val="000000"/>
          <w:sz w:val="32"/>
          <w:szCs w:val="32"/>
          <w:lang w:val="zh-CN" w:eastAsia="zh-CN" w:bidi="zh-CN"/>
        </w:rPr>
        <w:tab/>
      </w:r>
      <w:r>
        <w:rPr>
          <w:rFonts w:hint="eastAsia" w:ascii="仿宋" w:hAnsi="仿宋" w:eastAsia="仿宋" w:cs="仿宋"/>
          <w:b/>
          <w:bCs/>
          <w:color w:val="000000"/>
          <w:sz w:val="32"/>
          <w:szCs w:val="32"/>
        </w:rPr>
        <w:t>加强预算编制的合理性</w:t>
      </w:r>
    </w:p>
    <w:p>
      <w:pPr>
        <w:pStyle w:val="11"/>
        <w:spacing w:line="360" w:lineRule="auto"/>
        <w:ind w:firstLine="660"/>
        <w:rPr>
          <w:rFonts w:hint="eastAsia" w:ascii="仿宋" w:hAnsi="仿宋" w:eastAsia="仿宋" w:cs="仿宋"/>
        </w:rPr>
      </w:pPr>
      <w:r>
        <w:rPr>
          <w:rFonts w:hint="eastAsia" w:ascii="仿宋" w:hAnsi="仿宋" w:eastAsia="仿宋" w:cs="仿宋"/>
          <w:color w:val="000000"/>
        </w:rPr>
        <w:t>预算的合理性是行政事业单位内部控制的精髓，应重视部门预算，增强预算业务控制，充分发挥预算控制在内部控制中的重要作用。本单位在部门预算编制环节，包括基本支出预算、项目支出预算，均采用</w:t>
      </w:r>
      <w:r>
        <w:rPr>
          <w:rFonts w:hint="eastAsia" w:ascii="仿宋" w:hAnsi="仿宋" w:eastAsia="仿宋" w:cs="仿宋"/>
          <w:color w:val="000000"/>
          <w:lang w:val="zh-CN" w:eastAsia="zh-CN" w:bidi="zh-CN"/>
        </w:rPr>
        <w:t>“二上</w:t>
      </w:r>
      <w:r>
        <w:rPr>
          <w:rFonts w:hint="eastAsia" w:ascii="仿宋" w:hAnsi="仿宋" w:eastAsia="仿宋" w:cs="仿宋"/>
          <w:color w:val="000000"/>
        </w:rPr>
        <w:t>二下”的形式进行编制。基本支出预算按照单位的基础信息和核定的标准编制，保证单位的正常运转； 项目支出预算根据单位发展规划和年度计划，结合财政部门预算 安排情况，科学细化项目。</w:t>
      </w:r>
    </w:p>
    <w:p>
      <w:pPr>
        <w:pStyle w:val="11"/>
        <w:tabs>
          <w:tab w:val="left" w:pos="1118"/>
        </w:tabs>
        <w:spacing w:line="360" w:lineRule="auto"/>
        <w:ind w:firstLine="660"/>
        <w:rPr>
          <w:rFonts w:hint="eastAsia" w:ascii="仿宋" w:hAnsi="仿宋" w:eastAsia="仿宋" w:cs="仿宋"/>
          <w:b/>
          <w:bCs/>
          <w:sz w:val="32"/>
          <w:szCs w:val="32"/>
        </w:rPr>
      </w:pPr>
      <w:bookmarkStart w:id="28" w:name="bookmark93"/>
      <w:r>
        <w:rPr>
          <w:rFonts w:hint="eastAsia" w:ascii="仿宋" w:hAnsi="仿宋" w:eastAsia="仿宋" w:cs="仿宋"/>
          <w:b/>
          <w:bCs/>
          <w:color w:val="000000"/>
          <w:sz w:val="32"/>
          <w:szCs w:val="32"/>
        </w:rPr>
        <w:t>2</w:t>
      </w:r>
      <w:bookmarkEnd w:id="28"/>
      <w:r>
        <w:rPr>
          <w:rFonts w:hint="eastAsia" w:ascii="仿宋" w:hAnsi="仿宋" w:eastAsia="仿宋" w:cs="仿宋"/>
          <w:b/>
          <w:bCs/>
          <w:color w:val="000000"/>
          <w:sz w:val="32"/>
          <w:szCs w:val="32"/>
        </w:rPr>
        <w:t>、</w:t>
      </w:r>
      <w:r>
        <w:rPr>
          <w:rFonts w:hint="eastAsia" w:ascii="仿宋" w:hAnsi="仿宋" w:eastAsia="仿宋" w:cs="仿宋"/>
          <w:b/>
          <w:bCs/>
          <w:color w:val="000000"/>
          <w:sz w:val="32"/>
          <w:szCs w:val="32"/>
        </w:rPr>
        <w:tab/>
      </w:r>
      <w:r>
        <w:rPr>
          <w:rFonts w:hint="eastAsia" w:ascii="仿宋" w:hAnsi="仿宋" w:eastAsia="仿宋" w:cs="仿宋"/>
          <w:b/>
          <w:bCs/>
          <w:color w:val="000000"/>
          <w:sz w:val="32"/>
          <w:szCs w:val="32"/>
        </w:rPr>
        <w:t>严格控制预算执行</w:t>
      </w:r>
    </w:p>
    <w:p>
      <w:pPr>
        <w:pStyle w:val="11"/>
        <w:spacing w:line="360" w:lineRule="auto"/>
        <w:ind w:firstLine="660"/>
        <w:rPr>
          <w:rFonts w:hint="eastAsia" w:ascii="仿宋" w:hAnsi="仿宋" w:eastAsia="仿宋" w:cs="仿宋"/>
        </w:rPr>
      </w:pPr>
      <w:r>
        <w:rPr>
          <w:rFonts w:hint="eastAsia" w:ascii="仿宋" w:hAnsi="仿宋" w:eastAsia="仿宋" w:cs="仿宋"/>
          <w:color w:val="000000"/>
        </w:rPr>
        <w:t>在预算执行方面，本单位已建立预算执行全过程动态监控机制，完善预算执行管理办法，建立健全预算绩效管理体系，增强 预算执行的严肃性，提高预算执行的准确率。通过加强预算管理、 促进信息公开、建立奖惩机制，遵循先有预算、后有支出的原则，严格执行预算，严禁超预算或者无预算安排支出，严禁虚列支出、转移或者套取预算资金等现象发生。</w:t>
      </w:r>
    </w:p>
    <w:p>
      <w:pPr>
        <w:pStyle w:val="11"/>
        <w:tabs>
          <w:tab w:val="left" w:pos="1118"/>
        </w:tabs>
        <w:spacing w:line="360" w:lineRule="auto"/>
        <w:ind w:firstLine="660"/>
        <w:rPr>
          <w:rFonts w:hint="eastAsia" w:ascii="仿宋" w:hAnsi="仿宋" w:eastAsia="仿宋" w:cs="仿宋"/>
          <w:b/>
          <w:bCs/>
          <w:sz w:val="32"/>
          <w:szCs w:val="32"/>
        </w:rPr>
      </w:pPr>
      <w:bookmarkStart w:id="29" w:name="bookmark94"/>
      <w:r>
        <w:rPr>
          <w:rFonts w:hint="eastAsia" w:ascii="仿宋" w:hAnsi="仿宋" w:eastAsia="仿宋" w:cs="仿宋"/>
          <w:b/>
          <w:bCs/>
          <w:color w:val="000000"/>
          <w:sz w:val="32"/>
          <w:szCs w:val="32"/>
        </w:rPr>
        <w:t>3</w:t>
      </w:r>
      <w:bookmarkEnd w:id="29"/>
      <w:r>
        <w:rPr>
          <w:rFonts w:hint="eastAsia" w:ascii="仿宋" w:hAnsi="仿宋" w:eastAsia="仿宋" w:cs="仿宋"/>
          <w:b/>
          <w:bCs/>
          <w:color w:val="000000"/>
          <w:sz w:val="32"/>
          <w:szCs w:val="32"/>
        </w:rPr>
        <w:t>、</w:t>
      </w:r>
      <w:r>
        <w:rPr>
          <w:rFonts w:hint="eastAsia" w:ascii="仿宋" w:hAnsi="仿宋" w:eastAsia="仿宋" w:cs="仿宋"/>
          <w:b/>
          <w:bCs/>
          <w:color w:val="000000"/>
          <w:sz w:val="32"/>
          <w:szCs w:val="32"/>
        </w:rPr>
        <w:tab/>
      </w:r>
      <w:r>
        <w:rPr>
          <w:rFonts w:hint="eastAsia" w:ascii="仿宋" w:hAnsi="仿宋" w:eastAsia="仿宋" w:cs="仿宋"/>
          <w:b/>
          <w:bCs/>
          <w:color w:val="000000"/>
          <w:sz w:val="32"/>
          <w:szCs w:val="32"/>
        </w:rPr>
        <w:t>积极开展预算绩效管理</w:t>
      </w:r>
    </w:p>
    <w:p>
      <w:pPr>
        <w:pStyle w:val="2"/>
        <w:spacing w:before="0" w:after="0" w:line="360" w:lineRule="auto"/>
        <w:ind w:firstLine="600" w:firstLineChars="200"/>
        <w:rPr>
          <w:rFonts w:hint="eastAsia" w:ascii="仿宋" w:hAnsi="仿宋" w:eastAsia="仿宋" w:cs="仿宋"/>
          <w:b w:val="0"/>
          <w:bCs w:val="0"/>
          <w:color w:val="000000"/>
          <w:kern w:val="2"/>
          <w:sz w:val="30"/>
          <w:szCs w:val="30"/>
          <w:lang w:val="zh-TW" w:eastAsia="zh-TW" w:bidi="zh-TW"/>
        </w:rPr>
      </w:pPr>
      <w:r>
        <w:rPr>
          <w:rFonts w:hint="eastAsia" w:ascii="仿宋" w:hAnsi="仿宋" w:eastAsia="仿宋" w:cs="仿宋"/>
          <w:b w:val="0"/>
          <w:bCs w:val="0"/>
          <w:color w:val="000000"/>
          <w:kern w:val="2"/>
          <w:sz w:val="30"/>
          <w:szCs w:val="30"/>
          <w:lang w:val="zh-TW" w:eastAsia="zh-TW" w:bidi="zh-TW"/>
        </w:rPr>
        <w:t>本单位将在预算编制环节通过事前评价的方式，发现并去除 评价不高的项目，避免财政资金的浪费。在财政支出过程中，及 时根据资金使用进度，考核阶段性目标的完成进度，提高资金使 用效率。并在每个项目结束后进行严格自查，根据事前设定的绩 效目标科学评判支出的效率效果，并将评价结果合理运用于来年 的预算编制中。</w:t>
      </w:r>
    </w:p>
    <w:p>
      <w:pPr>
        <w:spacing w:line="360" w:lineRule="auto"/>
        <w:rPr>
          <w:rFonts w:hint="eastAsia" w:ascii="仿宋" w:hAnsi="仿宋" w:eastAsia="仿宋" w:cs="仿宋"/>
          <w:color w:val="000000"/>
          <w:sz w:val="30"/>
          <w:szCs w:val="30"/>
          <w:lang w:val="zh-TW" w:eastAsia="zh-TW" w:bidi="zh-TW"/>
        </w:rPr>
      </w:pPr>
    </w:p>
    <w:p>
      <w:pPr>
        <w:pStyle w:val="11"/>
        <w:spacing w:line="240" w:lineRule="auto"/>
        <w:ind w:firstLine="0"/>
        <w:jc w:val="left"/>
        <w:rPr>
          <w:rFonts w:hint="eastAsia" w:ascii="仿宋" w:hAnsi="仿宋" w:eastAsia="仿宋" w:cs="仿宋"/>
          <w:b/>
          <w:bCs/>
          <w:color w:val="000000"/>
          <w:sz w:val="36"/>
          <w:szCs w:val="36"/>
        </w:rPr>
      </w:pPr>
      <w:r>
        <w:rPr>
          <w:rFonts w:hint="eastAsia" w:ascii="仿宋" w:hAnsi="仿宋" w:eastAsia="仿宋" w:cs="仿宋"/>
          <w:b/>
          <w:bCs/>
          <w:color w:val="000000"/>
          <w:sz w:val="36"/>
          <w:szCs w:val="36"/>
        </w:rPr>
        <w:t>附件：</w:t>
      </w:r>
    </w:p>
    <w:p>
      <w:pPr>
        <w:pStyle w:val="11"/>
        <w:tabs>
          <w:tab w:val="left" w:pos="2014"/>
        </w:tabs>
        <w:spacing w:line="360" w:lineRule="auto"/>
        <w:ind w:firstLine="600" w:firstLineChars="200"/>
        <w:jc w:val="left"/>
        <w:rPr>
          <w:rFonts w:hint="eastAsia" w:ascii="仿宋" w:hAnsi="仿宋" w:eastAsia="仿宋" w:cs="仿宋"/>
          <w:color w:val="000000"/>
          <w:lang w:val="en-US" w:eastAsia="zh-CN"/>
        </w:rPr>
      </w:pPr>
      <w:bookmarkStart w:id="30" w:name="bookmark95"/>
      <w:bookmarkEnd w:id="30"/>
      <w:r>
        <w:rPr>
          <w:rFonts w:hint="eastAsia" w:ascii="仿宋" w:hAnsi="仿宋" w:eastAsia="仿宋" w:cs="仿宋"/>
          <w:color w:val="000000"/>
          <w:lang w:val="en-US" w:eastAsia="zh-CN"/>
        </w:rPr>
        <w:t>1、迪庆州图书馆十三五规划编制</w:t>
      </w:r>
    </w:p>
    <w:p>
      <w:pPr>
        <w:pStyle w:val="11"/>
        <w:tabs>
          <w:tab w:val="left" w:pos="2036"/>
        </w:tabs>
        <w:spacing w:line="360" w:lineRule="auto"/>
        <w:ind w:firstLine="600" w:firstLineChars="200"/>
        <w:jc w:val="left"/>
        <w:rPr>
          <w:rFonts w:hint="eastAsia" w:ascii="仿宋" w:hAnsi="仿宋" w:eastAsia="仿宋" w:cs="仿宋"/>
          <w:color w:val="000000"/>
          <w:lang w:val="en-US" w:eastAsia="zh-CN"/>
        </w:rPr>
      </w:pPr>
      <w:bookmarkStart w:id="31" w:name="bookmark99"/>
      <w:bookmarkEnd w:id="31"/>
      <w:bookmarkStart w:id="32" w:name="bookmark96"/>
      <w:bookmarkEnd w:id="32"/>
      <w:r>
        <w:rPr>
          <w:rFonts w:hint="eastAsia" w:ascii="仿宋" w:hAnsi="仿宋" w:eastAsia="仿宋" w:cs="仿宋"/>
          <w:color w:val="000000"/>
          <w:lang w:val="en-US" w:eastAsia="zh-CN"/>
        </w:rPr>
        <w:t>2、迪庆州图书馆内部管理制度</w:t>
      </w:r>
    </w:p>
    <w:p>
      <w:pPr>
        <w:pStyle w:val="11"/>
        <w:tabs>
          <w:tab w:val="left" w:pos="2036"/>
        </w:tabs>
        <w:spacing w:line="360" w:lineRule="auto"/>
        <w:ind w:firstLine="600" w:firstLineChars="200"/>
        <w:jc w:val="left"/>
        <w:rPr>
          <w:rFonts w:hint="eastAsia" w:ascii="仿宋" w:hAnsi="仿宋" w:eastAsia="仿宋" w:cs="仿宋"/>
          <w:color w:val="000000"/>
          <w:lang w:val="en-US" w:eastAsia="zh-CN"/>
        </w:rPr>
      </w:pPr>
      <w:r>
        <w:rPr>
          <w:rFonts w:hint="eastAsia" w:ascii="仿宋" w:hAnsi="仿宋" w:eastAsia="仿宋" w:cs="仿宋"/>
          <w:color w:val="000000"/>
          <w:lang w:val="en-US" w:eastAsia="zh-CN"/>
        </w:rPr>
        <w:t>3、迪庆州图书馆2019年三定方案</w:t>
      </w:r>
    </w:p>
    <w:p>
      <w:pPr>
        <w:pStyle w:val="11"/>
        <w:tabs>
          <w:tab w:val="left" w:pos="2036"/>
        </w:tabs>
        <w:spacing w:line="360" w:lineRule="auto"/>
        <w:ind w:firstLine="600" w:firstLineChars="200"/>
        <w:jc w:val="left"/>
        <w:rPr>
          <w:rFonts w:hint="eastAsia" w:ascii="仿宋" w:hAnsi="仿宋" w:eastAsia="仿宋" w:cs="仿宋"/>
          <w:color w:val="000000"/>
          <w:lang w:val="en-US" w:eastAsia="zh-CN"/>
        </w:rPr>
      </w:pPr>
      <w:r>
        <w:rPr>
          <w:rFonts w:hint="eastAsia" w:ascii="仿宋" w:hAnsi="仿宋" w:eastAsia="仿宋" w:cs="仿宋"/>
          <w:color w:val="000000"/>
          <w:lang w:val="en-US" w:eastAsia="zh-CN"/>
        </w:rPr>
        <w:t>4、迪庆州图书馆2019年工作计划及工作督查记录表</w:t>
      </w:r>
    </w:p>
    <w:p>
      <w:pPr>
        <w:pStyle w:val="11"/>
        <w:tabs>
          <w:tab w:val="left" w:pos="2036"/>
        </w:tabs>
        <w:spacing w:line="360" w:lineRule="auto"/>
        <w:ind w:firstLine="600" w:firstLineChars="200"/>
        <w:jc w:val="left"/>
        <w:rPr>
          <w:rFonts w:hint="eastAsia" w:ascii="仿宋" w:hAnsi="仿宋" w:eastAsia="仿宋" w:cs="仿宋"/>
          <w:color w:val="000000"/>
          <w:lang w:val="en-US" w:eastAsia="zh-CN"/>
        </w:rPr>
      </w:pPr>
      <w:bookmarkStart w:id="34" w:name="_GoBack"/>
      <w:r>
        <w:rPr>
          <w:rFonts w:hint="eastAsia" w:ascii="仿宋" w:hAnsi="仿宋" w:eastAsia="仿宋" w:cs="仿宋"/>
          <w:color w:val="000000"/>
          <w:lang w:val="en-US" w:eastAsia="zh-CN"/>
        </w:rPr>
        <w:t>5、迪庆州图书馆2019年工作总结及2020年工作计划</w:t>
      </w:r>
    </w:p>
    <w:bookmarkEnd w:id="34"/>
    <w:p>
      <w:pPr>
        <w:pStyle w:val="11"/>
        <w:tabs>
          <w:tab w:val="left" w:pos="2036"/>
        </w:tabs>
        <w:spacing w:line="360" w:lineRule="auto"/>
        <w:ind w:firstLine="600" w:firstLineChars="200"/>
        <w:jc w:val="left"/>
        <w:rPr>
          <w:rFonts w:hint="eastAsia" w:ascii="仿宋" w:hAnsi="仿宋" w:eastAsia="仿宋" w:cs="仿宋"/>
          <w:color w:val="000000"/>
          <w:lang w:val="en-US" w:eastAsia="zh-CN"/>
        </w:rPr>
      </w:pPr>
      <w:r>
        <w:rPr>
          <w:rFonts w:hint="eastAsia" w:ascii="仿宋" w:hAnsi="仿宋" w:eastAsia="仿宋" w:cs="仿宋"/>
          <w:color w:val="000000"/>
          <w:lang w:val="en-US" w:eastAsia="zh-CN"/>
        </w:rPr>
        <w:t>6、图书馆管理办法</w:t>
      </w:r>
    </w:p>
    <w:p>
      <w:pPr>
        <w:pStyle w:val="11"/>
        <w:tabs>
          <w:tab w:val="left" w:pos="2036"/>
        </w:tabs>
        <w:spacing w:line="360" w:lineRule="auto"/>
        <w:ind w:firstLine="600" w:firstLineChars="200"/>
        <w:jc w:val="left"/>
        <w:rPr>
          <w:rFonts w:hint="eastAsia" w:ascii="仿宋" w:hAnsi="仿宋" w:eastAsia="仿宋" w:cs="仿宋"/>
          <w:color w:val="000000"/>
          <w:lang w:val="en-US" w:eastAsia="zh-CN"/>
        </w:rPr>
      </w:pPr>
      <w:r>
        <w:rPr>
          <w:rFonts w:hint="eastAsia" w:ascii="仿宋" w:hAnsi="仿宋" w:eastAsia="仿宋" w:cs="仿宋"/>
          <w:color w:val="000000"/>
          <w:lang w:val="en-US" w:eastAsia="zh-CN"/>
        </w:rPr>
        <w:t>7、</w:t>
      </w:r>
      <w:r>
        <w:rPr>
          <w:rFonts w:hint="eastAsia" w:ascii="仿宋" w:hAnsi="仿宋" w:eastAsia="仿宋" w:cs="仿宋"/>
          <w:color w:val="000000"/>
          <w:lang w:eastAsia="zh-CN"/>
        </w:rPr>
        <w:t>财政部关于印发《中央补助地方公共文化服务体系建设专项资金管理暂行</w:t>
      </w:r>
      <w:r>
        <w:rPr>
          <w:rFonts w:hint="eastAsia" w:ascii="仿宋" w:hAnsi="仿宋" w:eastAsia="仿宋" w:cs="仿宋"/>
          <w:color w:val="000000"/>
        </w:rPr>
        <w:t>办法</w:t>
      </w:r>
      <w:r>
        <w:rPr>
          <w:rFonts w:hint="eastAsia" w:ascii="仿宋" w:hAnsi="仿宋" w:eastAsia="仿宋" w:cs="仿宋"/>
          <w:color w:val="000000"/>
          <w:lang w:eastAsia="zh-CN"/>
        </w:rPr>
        <w:t>》的通知》（财教</w:t>
      </w:r>
      <w:r>
        <w:rPr>
          <w:rFonts w:hint="eastAsia" w:ascii="仿宋" w:hAnsi="仿宋" w:eastAsia="仿宋" w:cs="仿宋"/>
          <w:color w:val="000000"/>
          <w:lang w:val="en-US" w:eastAsia="zh-CN"/>
        </w:rPr>
        <w:t>[2015]527号）</w:t>
      </w:r>
    </w:p>
    <w:p>
      <w:pPr>
        <w:pStyle w:val="11"/>
        <w:tabs>
          <w:tab w:val="left" w:pos="2036"/>
        </w:tabs>
        <w:spacing w:line="360" w:lineRule="auto"/>
        <w:ind w:firstLine="600" w:firstLineChars="200"/>
        <w:jc w:val="left"/>
        <w:rPr>
          <w:rFonts w:hint="eastAsia" w:ascii="仿宋" w:hAnsi="仿宋" w:eastAsia="仿宋" w:cs="仿宋"/>
          <w:color w:val="000000"/>
          <w:lang w:val="en-US" w:eastAsia="zh-CN"/>
        </w:rPr>
      </w:pPr>
      <w:r>
        <w:rPr>
          <w:rFonts w:hint="eastAsia" w:ascii="仿宋" w:hAnsi="仿宋" w:eastAsia="仿宋" w:cs="仿宋"/>
          <w:color w:val="000000"/>
          <w:lang w:val="en-US" w:eastAsia="zh-CN"/>
        </w:rPr>
        <w:t>8、财政部 文化部关于印发《中央补助地方美术馆公共图书馆 文化馆（站）免费开放专项资金管理暂行办法》（财教〔2013〕98号）</w:t>
      </w:r>
    </w:p>
    <w:p>
      <w:pPr>
        <w:pStyle w:val="11"/>
        <w:tabs>
          <w:tab w:val="left" w:pos="2036"/>
        </w:tabs>
        <w:spacing w:line="360" w:lineRule="auto"/>
        <w:ind w:firstLine="600" w:firstLineChars="200"/>
        <w:jc w:val="left"/>
        <w:rPr>
          <w:rFonts w:hint="eastAsia" w:ascii="仿宋" w:hAnsi="仿宋" w:eastAsia="仿宋" w:cs="仿宋"/>
          <w:color w:val="000000"/>
          <w:lang w:val="en-US" w:eastAsia="zh-CN"/>
        </w:rPr>
      </w:pPr>
      <w:r>
        <w:rPr>
          <w:rFonts w:hint="eastAsia" w:ascii="仿宋" w:hAnsi="仿宋" w:eastAsia="仿宋" w:cs="仿宋"/>
          <w:color w:val="000000"/>
          <w:lang w:val="en-US" w:eastAsia="zh-CN"/>
        </w:rPr>
        <w:t>9、财政部关于印发《中央对地方专项转移支付管理办法〉的通知》（财预[2015]230号）</w:t>
      </w:r>
      <w:bookmarkStart w:id="33" w:name="bookmark100"/>
      <w:bookmarkEnd w:id="33"/>
    </w:p>
    <w:p>
      <w:pPr>
        <w:pStyle w:val="11"/>
        <w:tabs>
          <w:tab w:val="left" w:pos="2036"/>
        </w:tabs>
        <w:spacing w:line="360" w:lineRule="auto"/>
        <w:ind w:firstLine="600" w:firstLineChars="200"/>
        <w:jc w:val="left"/>
        <w:rPr>
          <w:rFonts w:hint="eastAsia" w:ascii="仿宋" w:hAnsi="仿宋" w:eastAsia="仿宋" w:cs="仿宋"/>
          <w:color w:val="000000"/>
          <w:lang w:eastAsia="zh-CN"/>
        </w:rPr>
      </w:pPr>
      <w:r>
        <w:rPr>
          <w:rFonts w:hint="eastAsia" w:ascii="仿宋" w:hAnsi="仿宋" w:eastAsia="仿宋" w:cs="仿宋"/>
          <w:color w:val="000000"/>
          <w:lang w:val="en-US" w:eastAsia="zh-CN"/>
        </w:rPr>
        <w:t>10、迪庆州图书馆</w:t>
      </w:r>
      <w:r>
        <w:rPr>
          <w:rFonts w:hint="eastAsia" w:ascii="仿宋" w:hAnsi="仿宋" w:eastAsia="仿宋" w:cs="仿宋"/>
          <w:color w:val="000000"/>
        </w:rPr>
        <w:t>201</w:t>
      </w:r>
      <w:r>
        <w:rPr>
          <w:rFonts w:hint="eastAsia" w:ascii="仿宋" w:hAnsi="仿宋" w:eastAsia="仿宋" w:cs="仿宋"/>
          <w:color w:val="000000"/>
          <w:lang w:val="en-US" w:eastAsia="zh-CN"/>
        </w:rPr>
        <w:t>9</w:t>
      </w:r>
      <w:r>
        <w:rPr>
          <w:rFonts w:hint="eastAsia" w:ascii="仿宋" w:hAnsi="仿宋" w:eastAsia="仿宋" w:cs="仿宋"/>
          <w:color w:val="000000"/>
        </w:rPr>
        <w:t>年</w:t>
      </w:r>
      <w:r>
        <w:rPr>
          <w:rFonts w:hint="eastAsia" w:ascii="仿宋" w:hAnsi="仿宋" w:eastAsia="仿宋" w:cs="仿宋"/>
          <w:color w:val="000000"/>
          <w:lang w:eastAsia="zh-CN"/>
        </w:rPr>
        <w:t>部门</w:t>
      </w:r>
      <w:r>
        <w:rPr>
          <w:rFonts w:hint="eastAsia" w:ascii="仿宋" w:hAnsi="仿宋" w:eastAsia="仿宋" w:cs="仿宋"/>
          <w:color w:val="000000"/>
        </w:rPr>
        <w:t>预算</w:t>
      </w:r>
      <w:r>
        <w:rPr>
          <w:rFonts w:hint="eastAsia" w:ascii="仿宋" w:hAnsi="仿宋" w:eastAsia="仿宋" w:cs="仿宋"/>
          <w:color w:val="000000"/>
          <w:lang w:eastAsia="zh-CN"/>
        </w:rPr>
        <w:t>表</w:t>
      </w:r>
      <w:r>
        <w:rPr>
          <w:rFonts w:hint="eastAsia" w:ascii="仿宋" w:hAnsi="仿宋" w:eastAsia="仿宋" w:cs="仿宋"/>
          <w:color w:val="000000"/>
        </w:rPr>
        <w:t>、迪庆州</w:t>
      </w:r>
      <w:r>
        <w:rPr>
          <w:rFonts w:hint="eastAsia" w:ascii="仿宋" w:hAnsi="仿宋" w:eastAsia="仿宋" w:cs="仿宋"/>
          <w:color w:val="000000"/>
          <w:lang w:eastAsia="zh-CN"/>
        </w:rPr>
        <w:t>图书馆</w:t>
      </w:r>
      <w:r>
        <w:rPr>
          <w:rFonts w:hint="eastAsia" w:ascii="仿宋" w:hAnsi="仿宋" w:eastAsia="仿宋" w:cs="仿宋"/>
          <w:color w:val="000000"/>
        </w:rPr>
        <w:t>2019年财政拨款收入支出决算总表</w:t>
      </w:r>
      <w:r>
        <w:rPr>
          <w:rFonts w:hint="eastAsia" w:ascii="仿宋" w:hAnsi="仿宋" w:eastAsia="仿宋" w:cs="仿宋"/>
          <w:color w:val="000000"/>
          <w:lang w:eastAsia="zh-CN"/>
        </w:rPr>
        <w:t>、迪庆州图书馆2019年收入支出决算总表</w:t>
      </w:r>
    </w:p>
    <w:p>
      <w:pPr>
        <w:rPr>
          <w:rFonts w:hint="eastAsia" w:ascii="仿宋" w:hAnsi="仿宋" w:eastAsia="仿宋" w:cs="仿宋"/>
          <w:lang w:val="zh-TW" w:eastAsia="zh-TW"/>
        </w:rPr>
      </w:pPr>
    </w:p>
    <w:p>
      <w:pPr>
        <w:pStyle w:val="2"/>
        <w:spacing w:before="0" w:after="0" w:line="360" w:lineRule="auto"/>
        <w:rPr>
          <w:rFonts w:hint="eastAsia" w:ascii="仿宋" w:hAnsi="仿宋" w:eastAsia="仿宋" w:cs="仿宋"/>
          <w:b w:val="0"/>
          <w:bCs w:val="0"/>
          <w:color w:val="000000"/>
          <w:kern w:val="2"/>
          <w:sz w:val="30"/>
          <w:szCs w:val="30"/>
          <w:lang w:val="zh-TW" w:eastAsia="zh-TW" w:bidi="zh-TW"/>
        </w:rPr>
      </w:pPr>
      <w:r>
        <w:rPr>
          <w:rFonts w:hint="eastAsia" w:ascii="仿宋" w:hAnsi="仿宋" w:eastAsia="仿宋" w:cs="仿宋"/>
          <w:sz w:val="32"/>
          <w:szCs w:val="32"/>
          <w:lang w:val="en-US" w:eastAsia="zh-CN"/>
        </w:rPr>
        <w:drawing>
          <wp:anchor distT="0" distB="0" distL="114300" distR="114300" simplePos="0" relativeHeight="251658240" behindDoc="1" locked="0" layoutInCell="1" allowOverlap="1">
            <wp:simplePos x="0" y="0"/>
            <wp:positionH relativeFrom="column">
              <wp:posOffset>3336925</wp:posOffset>
            </wp:positionH>
            <wp:positionV relativeFrom="paragraph">
              <wp:posOffset>390525</wp:posOffset>
            </wp:positionV>
            <wp:extent cx="1508760" cy="1484630"/>
            <wp:effectExtent l="0" t="0" r="15240" b="1270"/>
            <wp:wrapNone/>
            <wp:docPr id="1" name="图片 1" descr="图书馆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书馆公章"/>
                    <pic:cNvPicPr>
                      <a:picLocks noChangeAspect="1"/>
                    </pic:cNvPicPr>
                  </pic:nvPicPr>
                  <pic:blipFill>
                    <a:blip r:embed="rId16"/>
                    <a:stretch>
                      <a:fillRect/>
                    </a:stretch>
                  </pic:blipFill>
                  <pic:spPr>
                    <a:xfrm>
                      <a:off x="0" y="0"/>
                      <a:ext cx="1508760" cy="1484630"/>
                    </a:xfrm>
                    <a:prstGeom prst="rect">
                      <a:avLst/>
                    </a:prstGeom>
                    <a:noFill/>
                    <a:ln>
                      <a:noFill/>
                    </a:ln>
                  </pic:spPr>
                </pic:pic>
              </a:graphicData>
            </a:graphic>
          </wp:anchor>
        </w:drawing>
      </w:r>
    </w:p>
    <w:p>
      <w:pPr>
        <w:pStyle w:val="2"/>
        <w:ind w:firstLine="4698" w:firstLineChars="1300"/>
        <w:rPr>
          <w:rFonts w:hint="eastAsia" w:ascii="仿宋" w:hAnsi="仿宋" w:eastAsia="仿宋" w:cs="仿宋"/>
          <w:sz w:val="36"/>
          <w:szCs w:val="36"/>
          <w:lang w:val="zh-TW"/>
        </w:rPr>
      </w:pPr>
      <w:r>
        <w:rPr>
          <w:rFonts w:hint="eastAsia" w:ascii="仿宋" w:hAnsi="仿宋" w:eastAsia="仿宋" w:cs="仿宋"/>
          <w:sz w:val="36"/>
          <w:szCs w:val="36"/>
          <w:lang w:val="zh-TW"/>
        </w:rPr>
        <w:t>迪庆藏族自治州图书馆</w:t>
      </w:r>
    </w:p>
    <w:p>
      <w:pPr>
        <w:ind w:firstLine="5060" w:firstLineChars="1400"/>
        <w:rPr>
          <w:rFonts w:hint="eastAsia" w:ascii="仿宋" w:hAnsi="仿宋" w:eastAsia="仿宋" w:cs="仿宋"/>
          <w:b/>
          <w:bCs/>
          <w:sz w:val="36"/>
          <w:szCs w:val="36"/>
        </w:rPr>
      </w:pPr>
      <w:r>
        <w:rPr>
          <w:rFonts w:hint="eastAsia" w:ascii="仿宋" w:hAnsi="仿宋" w:eastAsia="仿宋" w:cs="仿宋"/>
          <w:b/>
          <w:bCs/>
          <w:sz w:val="36"/>
          <w:szCs w:val="36"/>
        </w:rPr>
        <w:t>2020年5月26日</w:t>
      </w:r>
    </w:p>
    <w:sectPr>
      <w:footerReference r:id="rId1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33" o:spid="_x0000_s1033"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1031" o:spid="_x0000_s1031"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3" o:spid="_x0000_s1030" o:spt="202" type="#_x0000_t202" style="position:absolute;left:0pt;margin-left:95.05pt;margin-top:743.4pt;height:9.7pt;width:47.9pt;mso-position-horizontal-relative:page;mso-position-vertical-relative:page;mso-wrap-style:none;z-index:-251662336;mso-width-relative:page;mso-height-relative:page;" filled="f" stroked="f" coordsize="21600,21600" o:gfxdata="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rN4Ar2AAAAA0BAAAPAAAAAAAAAAEAIAAAACIAAABkcnMvZG93&#10;bnJldi54bWxQSwECFAAUAAAACACHTuJAwC1Fs44BAAAhAwAADgAAAAAAAAABACAAAAAnAQAAZHJz&#10;L2Uyb0RvYy54bWxQSwUGAAAAAAYABgBZAQAAJwUAAAAA&#10;">
          <v:path/>
          <v:fill on="f" focussize="0,0"/>
          <v:stroke on="f" joinstyle="miter"/>
          <v:imagedata o:title=""/>
          <o:lock v:ext="edit"/>
          <v:textbox inset="0mm,0mm,0mm,0mm" style="mso-fit-shape-to-text:t;">
            <w:txbxContent>
              <w:p>
                <w:pPr>
                  <w:pStyle w:val="12"/>
                  <w:jc w:val="left"/>
                  <w:rPr>
                    <w:sz w:val="30"/>
                    <w:szCs w:val="30"/>
                  </w:rPr>
                </w:pPr>
                <w:r>
                  <w:rPr>
                    <w:rFonts w:ascii="Times New Roman" w:hAnsi="Times New Roman" w:eastAsia="Times New Roman"/>
                    <w:color w:val="000000"/>
                    <w:sz w:val="30"/>
                    <w:szCs w:val="30"/>
                    <w:lang w:val="en-US" w:eastAsia="en-US" w:bidi="en-US"/>
                  </w:rPr>
                  <w:t>—</w:t>
                </w:r>
                <w:r>
                  <w:fldChar w:fldCharType="begin"/>
                </w:r>
                <w:r>
                  <w:instrText xml:space="preserve"> PAGE \* MERGEFORMAT </w:instrText>
                </w:r>
                <w:r>
                  <w:fldChar w:fldCharType="separate"/>
                </w:r>
                <w:r>
                  <w:rPr>
                    <w:rFonts w:ascii="Times New Roman" w:hAnsi="Times New Roman" w:eastAsia="Times New Roman"/>
                    <w:color w:val="000000"/>
                    <w:sz w:val="30"/>
                    <w:szCs w:val="30"/>
                  </w:rPr>
                  <w:t>#</w:t>
                </w:r>
                <w:r>
                  <w:rPr>
                    <w:rFonts w:ascii="Times New Roman" w:hAnsi="Times New Roman" w:eastAsia="Times New Roman"/>
                    <w:color w:val="000000"/>
                    <w:sz w:val="30"/>
                    <w:szCs w:val="30"/>
                  </w:rPr>
                  <w:fldChar w:fldCharType="end"/>
                </w:r>
                <w:r>
                  <w:rPr>
                    <w:rFonts w:ascii="Times New Roman" w:hAnsi="Times New Roman" w:eastAsia="Times New Roman"/>
                    <w:color w:val="000000"/>
                    <w:sz w:val="30"/>
                    <w:szCs w:val="30"/>
                  </w:rPr>
                  <w:t xml:space="preserve"> </w:t>
                </w:r>
                <w:r>
                  <w:rPr>
                    <w:rFonts w:ascii="宋体" w:hAnsi="宋体" w:cs="宋体"/>
                    <w:color w:val="000000"/>
                    <w:sz w:val="30"/>
                    <w:szCs w:val="30"/>
                  </w:rPr>
                  <w:t>一</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1032" o:spid="_x0000_s103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9" o:spid="_x0000_s1028" o:spt="202" type="#_x0000_t202" style="position:absolute;left:0pt;margin-left:459pt;margin-top:745.8pt;height:9.7pt;width:26.3pt;mso-position-horizontal-relative:page;mso-position-vertical-relative:page;mso-wrap-style:none;z-index:-251661312;mso-width-relative:page;mso-height-relative:page;" filled="f" stroked="f" coordsize="21600,21600" o:gfxdata="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k0/H12AAAAA0BAAAPAAAAAAAAAAEAIAAAACIAAABkcnMvZG93&#10;bnJldi54bWxQSwECFAAUAAAACACHTuJAbbsvko4BAAAhAwAADgAAAAAAAAABACAAAAAnAQAAZHJz&#10;L2Uyb0RvYy54bWxQSwUGAAAAAAYABgBZAQAAJwUAAAAA&#10;">
          <v:path/>
          <v:fill on="f" focussize="0,0"/>
          <v:stroke on="f" joinstyle="miter"/>
          <v:imagedata o:title=""/>
          <o:lock v:ext="edit"/>
          <v:textbox inset="0mm,0mm,0mm,0mm" style="mso-fit-shape-to-text:t;">
            <w:txbxContent>
              <w:p>
                <w:pPr>
                  <w:pStyle w:val="12"/>
                  <w:jc w:val="left"/>
                  <w:rPr>
                    <w:sz w:val="30"/>
                    <w:szCs w:val="30"/>
                  </w:rPr>
                </w:pPr>
                <w:r>
                  <w:rPr>
                    <w:rFonts w:ascii="Times New Roman" w:hAnsi="Times New Roman" w:eastAsia="Times New Roman"/>
                    <w:color w:val="000000"/>
                    <w:sz w:val="30"/>
                    <w:szCs w:val="30"/>
                  </w:rPr>
                  <w:t>—</w:t>
                </w:r>
                <w:r>
                  <w:fldChar w:fldCharType="begin"/>
                </w:r>
                <w:r>
                  <w:instrText xml:space="preserve"> PAGE \* MERGEFORMAT </w:instrText>
                </w:r>
                <w:r>
                  <w:fldChar w:fldCharType="separate"/>
                </w:r>
                <w:r>
                  <w:rPr>
                    <w:rFonts w:ascii="Times New Roman" w:hAnsi="Times New Roman" w:eastAsia="Times New Roman"/>
                    <w:color w:val="000000"/>
                    <w:sz w:val="30"/>
                    <w:szCs w:val="30"/>
                  </w:rPr>
                  <w:t>#</w:t>
                </w:r>
                <w:r>
                  <w:rPr>
                    <w:rFonts w:ascii="Times New Roman" w:hAnsi="Times New Roman" w:eastAsia="Times New Roman"/>
                    <w:color w:val="000000"/>
                    <w:sz w:val="30"/>
                    <w:szCs w:val="30"/>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1027"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FF6C38"/>
    <w:multiLevelType w:val="singleLevel"/>
    <w:tmpl w:val="96FF6C38"/>
    <w:lvl w:ilvl="0" w:tentative="0">
      <w:start w:val="4"/>
      <w:numFmt w:val="chineseCounting"/>
      <w:suff w:val="nothing"/>
      <w:lvlText w:val="（%1）"/>
      <w:lvlJc w:val="left"/>
      <w:rPr>
        <w:rFonts w:hint="eastAsia"/>
      </w:rPr>
    </w:lvl>
  </w:abstractNum>
  <w:abstractNum w:abstractNumId="1">
    <w:nsid w:val="E90FA69B"/>
    <w:multiLevelType w:val="singleLevel"/>
    <w:tmpl w:val="E90FA69B"/>
    <w:lvl w:ilvl="0" w:tentative="0">
      <w:start w:val="2"/>
      <w:numFmt w:val="chineseCounting"/>
      <w:suff w:val="nothing"/>
      <w:lvlText w:val="（%1）"/>
      <w:lvlJc w:val="left"/>
      <w:rPr>
        <w:rFonts w:hint="eastAsia"/>
      </w:rPr>
    </w:lvl>
  </w:abstractNum>
  <w:abstractNum w:abstractNumId="2">
    <w:nsid w:val="4FA33523"/>
    <w:multiLevelType w:val="singleLevel"/>
    <w:tmpl w:val="4FA33523"/>
    <w:lvl w:ilvl="0" w:tentative="0">
      <w:start w:val="3"/>
      <w:numFmt w:val="chineseCounting"/>
      <w:suff w:val="nothing"/>
      <w:lvlText w:val="（%1）"/>
      <w:lvlJc w:val="left"/>
      <w:pPr>
        <w:ind w:left="420"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25EA5"/>
    <w:rsid w:val="00070BC3"/>
    <w:rsid w:val="001B4B85"/>
    <w:rsid w:val="004239A6"/>
    <w:rsid w:val="00554C1C"/>
    <w:rsid w:val="005E64E0"/>
    <w:rsid w:val="0063036A"/>
    <w:rsid w:val="00825EA5"/>
    <w:rsid w:val="0094626F"/>
    <w:rsid w:val="00955772"/>
    <w:rsid w:val="00A06657"/>
    <w:rsid w:val="00D822B8"/>
    <w:rsid w:val="00DC57B3"/>
    <w:rsid w:val="00E71ED4"/>
    <w:rsid w:val="0258492A"/>
    <w:rsid w:val="043D1C9C"/>
    <w:rsid w:val="063B279D"/>
    <w:rsid w:val="07C1626E"/>
    <w:rsid w:val="0995592D"/>
    <w:rsid w:val="0A437765"/>
    <w:rsid w:val="0AC323C8"/>
    <w:rsid w:val="0AE81105"/>
    <w:rsid w:val="0C00559D"/>
    <w:rsid w:val="0C6A456A"/>
    <w:rsid w:val="0CC724C5"/>
    <w:rsid w:val="0CCE175E"/>
    <w:rsid w:val="0E69300F"/>
    <w:rsid w:val="0E740E86"/>
    <w:rsid w:val="0F3E2631"/>
    <w:rsid w:val="12302671"/>
    <w:rsid w:val="1262594F"/>
    <w:rsid w:val="13597D96"/>
    <w:rsid w:val="14562EEB"/>
    <w:rsid w:val="1534059D"/>
    <w:rsid w:val="1569622F"/>
    <w:rsid w:val="16522439"/>
    <w:rsid w:val="167162A5"/>
    <w:rsid w:val="17560A3C"/>
    <w:rsid w:val="17AD604C"/>
    <w:rsid w:val="1AEE4ADF"/>
    <w:rsid w:val="1B34752F"/>
    <w:rsid w:val="1B6C0673"/>
    <w:rsid w:val="1E2504CD"/>
    <w:rsid w:val="1E333961"/>
    <w:rsid w:val="1F8315C7"/>
    <w:rsid w:val="200E3E7A"/>
    <w:rsid w:val="20B91714"/>
    <w:rsid w:val="22476763"/>
    <w:rsid w:val="22AF7D3C"/>
    <w:rsid w:val="24110824"/>
    <w:rsid w:val="24173253"/>
    <w:rsid w:val="243E01D3"/>
    <w:rsid w:val="24A65F82"/>
    <w:rsid w:val="256A1B41"/>
    <w:rsid w:val="26000B1E"/>
    <w:rsid w:val="27460A01"/>
    <w:rsid w:val="279F630A"/>
    <w:rsid w:val="282C2B3C"/>
    <w:rsid w:val="28972C06"/>
    <w:rsid w:val="2975495A"/>
    <w:rsid w:val="2AFE49B0"/>
    <w:rsid w:val="2B1154C9"/>
    <w:rsid w:val="2E574C64"/>
    <w:rsid w:val="2F9C0A4B"/>
    <w:rsid w:val="31B34A74"/>
    <w:rsid w:val="31B6152E"/>
    <w:rsid w:val="324B6615"/>
    <w:rsid w:val="32A500EF"/>
    <w:rsid w:val="32BB53DA"/>
    <w:rsid w:val="337D29F2"/>
    <w:rsid w:val="338F6530"/>
    <w:rsid w:val="366E7522"/>
    <w:rsid w:val="374C773B"/>
    <w:rsid w:val="39E5723D"/>
    <w:rsid w:val="3AEF3486"/>
    <w:rsid w:val="3B296A75"/>
    <w:rsid w:val="3B776417"/>
    <w:rsid w:val="3D7D32B6"/>
    <w:rsid w:val="3DB93859"/>
    <w:rsid w:val="3E4C3A9A"/>
    <w:rsid w:val="3F300C8F"/>
    <w:rsid w:val="3FC23714"/>
    <w:rsid w:val="400C4976"/>
    <w:rsid w:val="429E2A61"/>
    <w:rsid w:val="42E84EB7"/>
    <w:rsid w:val="43991CC8"/>
    <w:rsid w:val="45AD02BA"/>
    <w:rsid w:val="45C63D23"/>
    <w:rsid w:val="466A018E"/>
    <w:rsid w:val="46FF40FD"/>
    <w:rsid w:val="4728664D"/>
    <w:rsid w:val="488F36FE"/>
    <w:rsid w:val="496879F2"/>
    <w:rsid w:val="4A482DDE"/>
    <w:rsid w:val="4AAA11AD"/>
    <w:rsid w:val="4B073651"/>
    <w:rsid w:val="4C0C1B24"/>
    <w:rsid w:val="4CAB0607"/>
    <w:rsid w:val="4E4A3D95"/>
    <w:rsid w:val="4EC9455E"/>
    <w:rsid w:val="4F4D3BF2"/>
    <w:rsid w:val="4F4D67F0"/>
    <w:rsid w:val="535F33CB"/>
    <w:rsid w:val="53AA4884"/>
    <w:rsid w:val="54451739"/>
    <w:rsid w:val="547E5F96"/>
    <w:rsid w:val="54892E16"/>
    <w:rsid w:val="552F1769"/>
    <w:rsid w:val="57530BC6"/>
    <w:rsid w:val="57DB4509"/>
    <w:rsid w:val="57DE67C2"/>
    <w:rsid w:val="59450067"/>
    <w:rsid w:val="59927164"/>
    <w:rsid w:val="59E31B96"/>
    <w:rsid w:val="5AEF3C82"/>
    <w:rsid w:val="5DBE6603"/>
    <w:rsid w:val="5EA85ACF"/>
    <w:rsid w:val="5EB65711"/>
    <w:rsid w:val="5EF671AE"/>
    <w:rsid w:val="5FBC0AE0"/>
    <w:rsid w:val="5FE25BD1"/>
    <w:rsid w:val="60760323"/>
    <w:rsid w:val="61630CAB"/>
    <w:rsid w:val="61AF56F2"/>
    <w:rsid w:val="628C3A43"/>
    <w:rsid w:val="63C11B00"/>
    <w:rsid w:val="645251BE"/>
    <w:rsid w:val="64E93489"/>
    <w:rsid w:val="651D2801"/>
    <w:rsid w:val="67DD5DBE"/>
    <w:rsid w:val="698C01C5"/>
    <w:rsid w:val="6B147CE6"/>
    <w:rsid w:val="6BEF1950"/>
    <w:rsid w:val="6CCD7316"/>
    <w:rsid w:val="6EEA7016"/>
    <w:rsid w:val="6F036BFD"/>
    <w:rsid w:val="6FA60D13"/>
    <w:rsid w:val="6FB9007F"/>
    <w:rsid w:val="6FDB225A"/>
    <w:rsid w:val="70BA6261"/>
    <w:rsid w:val="73293EC7"/>
    <w:rsid w:val="737A0155"/>
    <w:rsid w:val="75E06761"/>
    <w:rsid w:val="77126E62"/>
    <w:rsid w:val="782D2554"/>
    <w:rsid w:val="785D05FA"/>
    <w:rsid w:val="7AA669D6"/>
    <w:rsid w:val="7B1D2541"/>
    <w:rsid w:val="7B812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脚 Char"/>
    <w:basedOn w:val="6"/>
    <w:link w:val="3"/>
    <w:qFormat/>
    <w:uiPriority w:val="99"/>
    <w:rPr>
      <w:rFonts w:ascii="Calibri" w:hAnsi="Calibri" w:eastAsia="宋体" w:cs="Times New Roman"/>
      <w:sz w:val="18"/>
      <w:szCs w:val="18"/>
    </w:rPr>
  </w:style>
  <w:style w:type="paragraph" w:customStyle="1" w:styleId="8">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9">
    <w:name w:val="正文 A"/>
    <w:qFormat/>
    <w:uiPriority w:val="99"/>
    <w:pPr>
      <w:spacing w:after="200" w:line="276" w:lineRule="auto"/>
    </w:pPr>
    <w:rPr>
      <w:rFonts w:ascii="Calibri" w:hAnsi="Calibri" w:eastAsia="宋体" w:cs="Calibri"/>
      <w:color w:val="000000"/>
      <w:sz w:val="22"/>
      <w:szCs w:val="22"/>
      <w:u w:color="000000"/>
      <w:lang w:val="en-US" w:eastAsia="zh-CN" w:bidi="ar-SA"/>
    </w:rPr>
  </w:style>
  <w:style w:type="character" w:customStyle="1" w:styleId="10">
    <w:name w:val="标题 1 Char"/>
    <w:basedOn w:val="6"/>
    <w:link w:val="2"/>
    <w:qFormat/>
    <w:uiPriority w:val="9"/>
    <w:rPr>
      <w:rFonts w:ascii="Calibri" w:hAnsi="Calibri" w:eastAsia="宋体" w:cs="Times New Roman"/>
      <w:b/>
      <w:bCs/>
      <w:kern w:val="44"/>
      <w:sz w:val="44"/>
      <w:szCs w:val="44"/>
    </w:rPr>
  </w:style>
  <w:style w:type="paragraph" w:customStyle="1" w:styleId="11">
    <w:name w:val="Body text|1"/>
    <w:basedOn w:val="1"/>
    <w:qFormat/>
    <w:uiPriority w:val="0"/>
    <w:pPr>
      <w:spacing w:line="432" w:lineRule="auto"/>
      <w:ind w:firstLine="400"/>
    </w:pPr>
    <w:rPr>
      <w:rFonts w:ascii="宋体" w:hAnsi="宋体" w:cs="宋体"/>
      <w:sz w:val="30"/>
      <w:szCs w:val="30"/>
      <w:lang w:val="zh-TW" w:eastAsia="zh-TW" w:bidi="zh-TW"/>
    </w:rPr>
  </w:style>
  <w:style w:type="paragraph" w:customStyle="1" w:styleId="12">
    <w:name w:val="Header or footer|2"/>
    <w:basedOn w:val="1"/>
    <w:qFormat/>
    <w:uiPriority w:val="0"/>
    <w:rPr>
      <w:sz w:val="20"/>
      <w:szCs w:val="20"/>
      <w:lang w:val="zh-TW" w:eastAsia="zh-TW" w:bidi="zh-TW"/>
    </w:rPr>
  </w:style>
  <w:style w:type="paragraph" w:customStyle="1" w:styleId="13">
    <w:name w:val="Header or footer|1"/>
    <w:basedOn w:val="1"/>
    <w:qFormat/>
    <w:uiPriority w:val="0"/>
    <w:rPr>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3"/>
    <customShpInfo spid="_x0000_s1026"/>
    <customShpInfo spid="_x0000_s1031"/>
    <customShpInfo spid="_x0000_s1030"/>
    <customShpInfo spid="_x0000_s1032"/>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27</Pages>
  <Words>1922</Words>
  <Characters>10958</Characters>
  <Lines>91</Lines>
  <Paragraphs>25</Paragraphs>
  <TotalTime>2</TotalTime>
  <ScaleCrop>false</ScaleCrop>
  <LinksUpToDate>false</LinksUpToDate>
  <CharactersWithSpaces>12855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2019-07-23T09:12:00Z</dcterms:created>
  <dc:creator>Yuanjun</dc:creator>
  <cp:lastModifiedBy>Administrator</cp:lastModifiedBy>
  <cp:lastPrinted>2020-05-28T07:48:00Z</cp:lastPrinted>
  <dcterms:modified xsi:type="dcterms:W3CDTF">2020-07-06T07:57:23Z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