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hint="eastAsia" w:ascii="方正小标宋简体" w:hAnsi="宋体" w:eastAsia="方正小标宋简体" w:cs="宋体"/>
          <w:color w:val="000000"/>
          <w:kern w:val="0"/>
          <w:sz w:val="40"/>
          <w:szCs w:val="40"/>
          <w:lang w:eastAsia="zh-CN"/>
        </w:rPr>
      </w:pPr>
      <w:r>
        <w:rPr>
          <w:rFonts w:hint="eastAsia" w:ascii="方正小标宋简体" w:hAnsi="宋体" w:eastAsia="方正小标宋简体" w:cs="宋体"/>
          <w:color w:val="000000"/>
          <w:kern w:val="0"/>
          <w:sz w:val="40"/>
          <w:szCs w:val="40"/>
          <w:lang w:eastAsia="zh-CN"/>
        </w:rPr>
        <w:t>迪庆州</w:t>
      </w:r>
      <w:r>
        <w:rPr>
          <w:rFonts w:hint="eastAsia" w:ascii="方正小标宋简体" w:hAnsi="宋体" w:eastAsia="方正小标宋简体" w:cs="宋体"/>
          <w:color w:val="000000"/>
          <w:kern w:val="0"/>
          <w:sz w:val="40"/>
          <w:szCs w:val="40"/>
          <w:lang w:val="en-US" w:eastAsia="zh-CN"/>
        </w:rPr>
        <w:t>生态环境局</w:t>
      </w:r>
      <w:r>
        <w:rPr>
          <w:rFonts w:hint="eastAsia" w:ascii="方正小标宋简体" w:hAnsi="宋体" w:eastAsia="方正小标宋简体" w:cs="宋体"/>
          <w:color w:val="000000"/>
          <w:kern w:val="0"/>
          <w:sz w:val="40"/>
          <w:szCs w:val="40"/>
        </w:rPr>
        <w:t>随机抽查事项清单</w:t>
      </w:r>
      <w:r>
        <w:rPr>
          <w:rFonts w:hint="eastAsia" w:ascii="方正小标宋简体" w:hAnsi="宋体" w:eastAsia="方正小标宋简体" w:cs="宋体"/>
          <w:color w:val="000000"/>
          <w:kern w:val="0"/>
          <w:sz w:val="40"/>
          <w:szCs w:val="40"/>
          <w:lang w:eastAsia="zh-CN"/>
        </w:rPr>
        <w:t>（</w:t>
      </w:r>
      <w:r>
        <w:rPr>
          <w:rFonts w:hint="eastAsia" w:ascii="方正小标宋简体" w:hAnsi="宋体" w:eastAsia="方正小标宋简体" w:cs="宋体"/>
          <w:color w:val="000000"/>
          <w:kern w:val="0"/>
          <w:sz w:val="40"/>
          <w:szCs w:val="40"/>
          <w:lang w:val="en-US" w:eastAsia="zh-CN"/>
        </w:rPr>
        <w:t>2020年</w:t>
      </w:r>
      <w:bookmarkStart w:id="0" w:name="_GoBack"/>
      <w:bookmarkEnd w:id="0"/>
      <w:r>
        <w:rPr>
          <w:rFonts w:hint="eastAsia" w:ascii="方正小标宋简体" w:hAnsi="宋体" w:eastAsia="方正小标宋简体" w:cs="宋体"/>
          <w:color w:val="000000"/>
          <w:kern w:val="0"/>
          <w:sz w:val="40"/>
          <w:szCs w:val="40"/>
          <w:lang w:eastAsia="zh-CN"/>
        </w:rPr>
        <w:t>）</w:t>
      </w:r>
    </w:p>
    <w:p>
      <w:pPr>
        <w:widowControl/>
        <w:spacing w:line="460" w:lineRule="exact"/>
        <w:jc w:val="center"/>
        <w:rPr>
          <w:rFonts w:hint="eastAsia" w:ascii="仿宋_GB2312" w:hAnsi="仿宋_GB2312" w:eastAsia="仿宋_GB2312" w:cs="仿宋_GB2312"/>
          <w:b/>
          <w:bCs/>
          <w:color w:val="000000"/>
          <w:kern w:val="0"/>
          <w:sz w:val="28"/>
          <w:szCs w:val="28"/>
          <w:lang w:val="en-US" w:eastAsia="zh-CN"/>
        </w:rPr>
      </w:pPr>
    </w:p>
    <w:tbl>
      <w:tblPr>
        <w:tblStyle w:val="2"/>
        <w:tblW w:w="15168" w:type="dxa"/>
        <w:tblInd w:w="-459" w:type="dxa"/>
        <w:tblLayout w:type="fixed"/>
        <w:tblCellMar>
          <w:top w:w="0" w:type="dxa"/>
          <w:left w:w="108" w:type="dxa"/>
          <w:bottom w:w="0" w:type="dxa"/>
          <w:right w:w="108" w:type="dxa"/>
        </w:tblCellMar>
      </w:tblPr>
      <w:tblGrid>
        <w:gridCol w:w="567"/>
        <w:gridCol w:w="777"/>
        <w:gridCol w:w="1208"/>
        <w:gridCol w:w="2126"/>
        <w:gridCol w:w="709"/>
        <w:gridCol w:w="1134"/>
        <w:gridCol w:w="850"/>
        <w:gridCol w:w="833"/>
        <w:gridCol w:w="4696"/>
        <w:gridCol w:w="708"/>
        <w:gridCol w:w="1560"/>
      </w:tblGrid>
      <w:tr>
        <w:tblPrEx>
          <w:tblLayout w:type="fixed"/>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pPr>
              <w:jc w:val="left"/>
              <w:rPr>
                <w:rFonts w:hint="eastAsia" w:ascii="方正小标宋简体" w:hAnsi="宋体" w:eastAsia="方正小标宋简体" w:cs="宋体"/>
                <w:color w:val="000000"/>
                <w:kern w:val="0"/>
                <w:sz w:val="18"/>
                <w:szCs w:val="18"/>
              </w:rPr>
            </w:pPr>
          </w:p>
        </w:tc>
      </w:tr>
      <w:tr>
        <w:tblPrEx>
          <w:tblLayout w:type="fixed"/>
          <w:tblCellMar>
            <w:top w:w="0" w:type="dxa"/>
            <w:left w:w="108" w:type="dxa"/>
            <w:bottom w:w="0" w:type="dxa"/>
            <w:right w:w="108" w:type="dxa"/>
          </w:tblCellMar>
        </w:tblPrEx>
        <w:trPr>
          <w:trHeight w:val="255" w:hRule="atLeast"/>
          <w:tblHeader/>
        </w:trPr>
        <w:tc>
          <w:tcPr>
            <w:tcW w:w="567"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77"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850"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833"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4696"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tblPrEx>
          <w:tblLayout w:type="fixed"/>
          <w:tblCellMar>
            <w:top w:w="0" w:type="dxa"/>
            <w:left w:w="108" w:type="dxa"/>
            <w:bottom w:w="0" w:type="dxa"/>
            <w:right w:w="108" w:type="dxa"/>
          </w:tblCellMar>
        </w:tblPrEx>
        <w:trPr>
          <w:trHeight w:val="255" w:hRule="atLeast"/>
          <w:tblHeader/>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pPr>
          </w:p>
        </w:tc>
        <w:tc>
          <w:tcPr>
            <w:tcW w:w="777"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pPr>
          </w:p>
        </w:tc>
        <w:tc>
          <w:tcPr>
            <w:tcW w:w="1208"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default" w:ascii="方正黑体_GBK" w:hAnsi="宋体" w:eastAsia="方正黑体_GBK" w:cs="宋体"/>
                <w:b/>
                <w:bCs/>
                <w:kern w:val="0"/>
                <w:sz w:val="22"/>
                <w:lang w:val="en-US" w:eastAsia="zh-CN"/>
              </w:rPr>
            </w:pPr>
            <w:r>
              <w:rPr>
                <w:rFonts w:hint="eastAsia" w:ascii="方正黑体_GBK" w:hAnsi="宋体" w:eastAsia="方正黑体_GBK" w:cs="宋体"/>
                <w:b/>
                <w:bCs/>
                <w:kern w:val="0"/>
                <w:sz w:val="22"/>
                <w:lang w:val="en-US" w:eastAsia="zh-CN"/>
              </w:rPr>
              <w:t>抽查类别</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方正黑体_GBK" w:hAnsi="宋体" w:eastAsia="方正黑体_GBK" w:cs="宋体"/>
                <w:b/>
                <w:bCs/>
                <w:kern w:val="0"/>
                <w:sz w:val="22"/>
                <w:lang w:val="en-US" w:eastAsia="zh-CN"/>
              </w:rPr>
            </w:pPr>
            <w:r>
              <w:rPr>
                <w:rFonts w:hint="eastAsia" w:ascii="方正黑体_GBK" w:hAnsi="宋体" w:eastAsia="方正黑体_GBK" w:cs="宋体"/>
                <w:b/>
                <w:bCs/>
                <w:kern w:val="0"/>
                <w:sz w:val="22"/>
                <w:lang w:val="en-US" w:eastAsia="zh-CN"/>
              </w:rPr>
              <w:t>抽查事项</w:t>
            </w: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pPr>
          </w:p>
        </w:tc>
        <w:tc>
          <w:tcPr>
            <w:tcW w:w="1134"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center"/>
            </w:pPr>
          </w:p>
        </w:tc>
        <w:tc>
          <w:tcPr>
            <w:tcW w:w="850"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center"/>
            </w:pPr>
          </w:p>
        </w:tc>
        <w:tc>
          <w:tcPr>
            <w:tcW w:w="833"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center"/>
            </w:pPr>
          </w:p>
        </w:tc>
        <w:tc>
          <w:tcPr>
            <w:tcW w:w="4696"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center"/>
            </w:pPr>
          </w:p>
        </w:tc>
        <w:tc>
          <w:tcPr>
            <w:tcW w:w="708"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pPr>
          </w:p>
        </w:tc>
        <w:tc>
          <w:tcPr>
            <w:tcW w:w="1560"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pPr>
          </w:p>
        </w:tc>
      </w:tr>
      <w:tr>
        <w:tblPrEx>
          <w:tblLayout w:type="fixed"/>
          <w:tblCellMar>
            <w:top w:w="0" w:type="dxa"/>
            <w:left w:w="108" w:type="dxa"/>
            <w:bottom w:w="0" w:type="dxa"/>
            <w:right w:w="108" w:type="dxa"/>
          </w:tblCellMar>
        </w:tblPrEx>
        <w:trPr>
          <w:trHeight w:val="229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1</w:t>
            </w: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lang w:eastAsia="zh-CN"/>
              </w:rPr>
              <w:t>州生态环境局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1</w:t>
            </w:r>
            <w:r>
              <w:rPr>
                <w:rFonts w:hint="eastAsia" w:cs="宋体" w:asciiTheme="minorEastAsia" w:hAnsiTheme="minorEastAsia"/>
                <w:kern w:val="0"/>
                <w:sz w:val="20"/>
                <w:szCs w:val="20"/>
              </w:rPr>
              <w:t>项）</w:t>
            </w:r>
          </w:p>
        </w:tc>
        <w:tc>
          <w:tcPr>
            <w:tcW w:w="120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对排放污染物的企业事业单位和其他生产经营者的行政检查</w:t>
            </w: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对排放污染物的企业事业单位和其他生产经营者的监督检查和监测</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《中华人民共和国环境保护法》第二十四条；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《中华人民共和国大气污染防治法》第二十九条；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《中华人民共和国水污染防治法》第三十条、第五十条；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《畜禽规模养殖污染防治条例》（国务院第643号令）第二十三条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211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2</w:t>
            </w:r>
          </w:p>
        </w:tc>
        <w:tc>
          <w:tcPr>
            <w:tcW w:w="77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120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对污染源自动监控设施现场的监督检查；对自动监控系统的建设、运行和维护等的监督检查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《中华人民共和国水污染防治法》第二十四条；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《污染源自动监控设施现场监督检查办法》（环境保护部第19号令）第四条；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《污染源自动监控管理办法》（国家环境保护总局第28号令）第六条第三项</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2412" w:hRule="atLeast"/>
        </w:trPr>
        <w:tc>
          <w:tcPr>
            <w:tcW w:w="567" w:type="dxa"/>
            <w:tcBorders>
              <w:top w:val="nil"/>
              <w:left w:val="single" w:color="auto" w:sz="4" w:space="0"/>
              <w:bottom w:val="single" w:color="auto" w:sz="4" w:space="0"/>
              <w:right w:val="nil"/>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3</w:t>
            </w:r>
          </w:p>
        </w:tc>
        <w:tc>
          <w:tcPr>
            <w:tcW w:w="77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12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固体废物、危险废物产生、转移、处置情况的监督检查</w:t>
            </w: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对产生、收集、贮存、运输、利用、处置危险废物单位的监督检查；对固体废物污染环境防治工作的检查、指导和督促</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《中华人民共和国固体废物污染环境防治法》第六十二条；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《危险废物经营许可证管理办法》（国务院第408号令）第十七条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nil"/>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4</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lang w:eastAsia="zh-CN"/>
              </w:rPr>
              <w:t>州生态环境局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1</w:t>
            </w:r>
            <w:r>
              <w:rPr>
                <w:rFonts w:hint="eastAsia" w:cs="宋体" w:asciiTheme="minorEastAsia" w:hAnsiTheme="minorEastAsia"/>
                <w:kern w:val="0"/>
                <w:sz w:val="20"/>
                <w:szCs w:val="20"/>
              </w:rPr>
              <w:t>项）</w:t>
            </w:r>
          </w:p>
        </w:tc>
        <w:tc>
          <w:tcPr>
            <w:tcW w:w="1208" w:type="dxa"/>
            <w:vMerge w:val="restart"/>
            <w:tcBorders>
              <w:top w:val="single" w:color="auto" w:sz="4" w:space="0"/>
              <w:left w:val="nil"/>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固体废物、危险废物产生、转移、处置情况的监督检查</w:t>
            </w: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对废弃电器电子产品处理活动；对拆解、利用、处置电子废物单位的监督检查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《废弃电器电子产品回收处理管理条例》（国务院第551号令）第二十五条；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《电子废物污染环境防治管理办法》（国家环境保护总局第40号令）第十二条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1674" w:hRule="atLeast"/>
        </w:trPr>
        <w:tc>
          <w:tcPr>
            <w:tcW w:w="567" w:type="dxa"/>
            <w:tcBorders>
              <w:top w:val="nil"/>
              <w:left w:val="single" w:color="auto" w:sz="4" w:space="0"/>
              <w:bottom w:val="single" w:color="auto" w:sz="4" w:space="0"/>
              <w:right w:val="nil"/>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5</w:t>
            </w: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1208"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对医疗卫生机构和医疗废物集中处置单位环境污染防治工作的监督检查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企业、事业单位及民营主体</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《医疗废物管理条例》（国务院第380号令）第三十六条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1699" w:hRule="atLeast"/>
        </w:trPr>
        <w:tc>
          <w:tcPr>
            <w:tcW w:w="567" w:type="dxa"/>
            <w:tcBorders>
              <w:top w:val="nil"/>
              <w:left w:val="single" w:color="auto" w:sz="4" w:space="0"/>
              <w:bottom w:val="single" w:color="auto" w:sz="4" w:space="0"/>
              <w:right w:val="nil"/>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6</w:t>
            </w: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1208"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对危险废物转移联单运行情况的检查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《危险废物转移联单管理办法》（国家环境保护局第5号令）第十一条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1964" w:hRule="atLeast"/>
        </w:trPr>
        <w:tc>
          <w:tcPr>
            <w:tcW w:w="567" w:type="dxa"/>
            <w:tcBorders>
              <w:top w:val="nil"/>
              <w:left w:val="single" w:color="auto" w:sz="4" w:space="0"/>
              <w:bottom w:val="single" w:color="auto" w:sz="4" w:space="0"/>
              <w:right w:val="nil"/>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7</w:t>
            </w: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208"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对危险废物出口单位转移单据运行情况的检查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《危险废物出口核准管理办法》（环境保护总局第47号令）第十三条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1871" w:hRule="atLeast"/>
        </w:trPr>
        <w:tc>
          <w:tcPr>
            <w:tcW w:w="567" w:type="dxa"/>
            <w:tcBorders>
              <w:top w:val="nil"/>
              <w:left w:val="single" w:color="auto" w:sz="4" w:space="0"/>
              <w:bottom w:val="single" w:color="auto" w:sz="4" w:space="0"/>
              <w:right w:val="nil"/>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8</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州生态环境局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1</w:t>
            </w:r>
            <w:r>
              <w:rPr>
                <w:rFonts w:hint="eastAsia" w:cs="宋体" w:asciiTheme="minorEastAsia" w:hAnsiTheme="minorEastAsia"/>
                <w:kern w:val="0"/>
                <w:sz w:val="20"/>
                <w:szCs w:val="20"/>
              </w:rPr>
              <w:t>项）</w:t>
            </w:r>
          </w:p>
        </w:tc>
        <w:tc>
          <w:tcPr>
            <w:tcW w:w="1208"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固体废物、危险废物产生、转移、处置情况的监督检查</w:t>
            </w: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对进口固体废物利用企业及有关单位进行监督检查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《固体废物进口管理办法》（环境保护部第12号令）三十六条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1812" w:hRule="atLeast"/>
        </w:trPr>
        <w:tc>
          <w:tcPr>
            <w:tcW w:w="567" w:type="dxa"/>
            <w:tcBorders>
              <w:top w:val="nil"/>
              <w:left w:val="single" w:color="auto" w:sz="4" w:space="0"/>
              <w:bottom w:val="single" w:color="auto" w:sz="4" w:space="0"/>
              <w:right w:val="nil"/>
            </w:tcBorders>
            <w:shd w:val="clear" w:color="auto" w:fill="auto"/>
            <w:vAlign w:val="center"/>
          </w:tcPr>
          <w:p>
            <w:pPr>
              <w:jc w:val="center"/>
              <w:rPr>
                <w:rFonts w:hint="eastAsia" w:cs="宋体" w:asciiTheme="minorEastAsia" w:hAnsiTheme="minorEastAsia" w:eastAsiaTheme="minorEastAsia"/>
                <w:color w:val="000000"/>
                <w:sz w:val="20"/>
                <w:szCs w:val="20"/>
                <w:lang w:eastAsia="zh-CN"/>
              </w:rPr>
            </w:pPr>
            <w:r>
              <w:rPr>
                <w:rFonts w:hint="eastAsia" w:asciiTheme="minorEastAsia" w:hAnsiTheme="minorEastAsia"/>
                <w:color w:val="000000"/>
                <w:sz w:val="20"/>
                <w:szCs w:val="20"/>
                <w:lang w:val="en-US" w:eastAsia="zh-CN"/>
              </w:rPr>
              <w:t>9</w:t>
            </w: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120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对化学品进口生产等活动的检查</w:t>
            </w: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对新化学物质生产、加工使用活动的；化学品首次进口及有毒化学品进出口的监督检查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《新化学物质环境管理办法》（环境保护部第7号令）第三十九条；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《化学品首次进口及有毒化学品进出口环境管理规定》第八条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1852" w:hRule="atLeast"/>
        </w:trPr>
        <w:tc>
          <w:tcPr>
            <w:tcW w:w="567" w:type="dxa"/>
            <w:tcBorders>
              <w:top w:val="nil"/>
              <w:left w:val="single" w:color="auto" w:sz="4" w:space="0"/>
              <w:bottom w:val="single" w:color="auto" w:sz="4" w:space="0"/>
              <w:right w:val="nil"/>
            </w:tcBorders>
            <w:shd w:val="clear" w:color="auto" w:fill="auto"/>
            <w:vAlign w:val="center"/>
          </w:tcPr>
          <w:p>
            <w:pPr>
              <w:jc w:val="center"/>
              <w:rPr>
                <w:rFonts w:hint="default" w:cs="宋体" w:asciiTheme="minorEastAsia" w:hAnsiTheme="minorEastAsia" w:eastAsiaTheme="minorEastAsia"/>
                <w:color w:val="000000"/>
                <w:sz w:val="20"/>
                <w:szCs w:val="20"/>
                <w:lang w:val="en-US" w:eastAsia="zh-CN"/>
              </w:rPr>
            </w:pPr>
            <w:r>
              <w:rPr>
                <w:rFonts w:hint="eastAsia" w:asciiTheme="minorEastAsia" w:hAnsiTheme="minorEastAsia"/>
                <w:color w:val="000000"/>
                <w:sz w:val="20"/>
                <w:szCs w:val="20"/>
                <w:lang w:val="en-US" w:eastAsia="zh-CN"/>
              </w:rPr>
              <w:t>10</w:t>
            </w: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1208"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自然生态环境保护情况、农村生态环境保护情况的监督检查</w:t>
            </w:r>
          </w:p>
        </w:tc>
        <w:tc>
          <w:tcPr>
            <w:tcW w:w="212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对自然保护区、畜禽养殖污染防治等生态和农村环境保护法律法规执行情况进行检查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企业、事业单位及民营主体</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《环境监察办法》第六条第三款；</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《关于全国生态和农村环境监察工作的指导意见》（2012年12月14日环发〔2012〕146号）</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182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asciiTheme="minorEastAsia" w:hAnsiTheme="minorEastAsia" w:eastAsiaTheme="minorEastAsia"/>
                <w:color w:val="000000"/>
                <w:sz w:val="20"/>
                <w:szCs w:val="20"/>
                <w:lang w:val="en-US" w:eastAsia="zh-CN"/>
              </w:rPr>
            </w:pPr>
            <w:r>
              <w:rPr>
                <w:rFonts w:hint="eastAsia" w:asciiTheme="minorEastAsia" w:hAnsiTheme="minorEastAsia"/>
                <w:color w:val="000000"/>
                <w:sz w:val="20"/>
                <w:szCs w:val="20"/>
                <w:lang w:val="en-US" w:eastAsia="zh-CN"/>
              </w:rPr>
              <w:t>11</w:t>
            </w: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12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对建设项目环境影响评价落实情况的检查</w:t>
            </w:r>
          </w:p>
        </w:tc>
        <w:tc>
          <w:tcPr>
            <w:tcW w:w="2126" w:type="dxa"/>
            <w:tcBorders>
              <w:top w:val="nil"/>
              <w:left w:val="single" w:color="auto"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对建设项目环境影响评价落实情况的检查</w:t>
            </w:r>
          </w:p>
        </w:tc>
        <w:tc>
          <w:tcPr>
            <w:tcW w:w="709"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3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833" w:type="dxa"/>
            <w:tcBorders>
              <w:top w:val="nil"/>
              <w:left w:val="single" w:color="000000" w:sz="4" w:space="0"/>
              <w:bottom w:val="single" w:color="000000" w:sz="4" w:space="0"/>
              <w:right w:val="single" w:color="000000"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州、县级生态环境主管部门</w:t>
            </w:r>
          </w:p>
        </w:tc>
        <w:tc>
          <w:tcPr>
            <w:tcW w:w="469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《中华人民共和国环境影响评价法》第二十八条；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《建设项目环境保护管理条例》第二十条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F618F"/>
    <w:rsid w:val="07CF7FF2"/>
    <w:rsid w:val="145F618F"/>
    <w:rsid w:val="15FA28E6"/>
    <w:rsid w:val="230808B6"/>
    <w:rsid w:val="337E2815"/>
    <w:rsid w:val="534B4BBD"/>
    <w:rsid w:val="6CA25E12"/>
    <w:rsid w:val="748B7B77"/>
    <w:rsid w:val="78E33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15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2020-04-13T01:40:00Z</dcterms:created>
  <dc:creator>lenovo</dc:creator>
  <cp:lastModifiedBy>lenovo</cp:lastModifiedBy>
  <cp:lastPrinted>2020-04-17T06:48:00Z</cp:lastPrinted>
  <dcterms:modified xsi:type="dcterms:W3CDTF">2020-07-03T09:12:13Z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