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监督索引号53340000433301000</w:t>
      </w:r>
    </w:p>
    <w:p>
      <w:pPr>
        <w:jc w:val="both"/>
        <w:rPr>
          <w:rFonts w:hint="eastAsia" w:ascii="方正小标宋简体" w:hAnsi="方正小标宋简体" w:eastAsia="方正小标宋简体" w:cs="方正小标宋简体"/>
          <w:b w:val="0"/>
          <w:bCs w:val="0"/>
          <w:sz w:val="30"/>
          <w:szCs w:val="30"/>
          <w:lang w:eastAsia="zh-CN"/>
        </w:rPr>
      </w:pPr>
      <w:r>
        <w:rPr>
          <w:rFonts w:hint="eastAsia" w:ascii="方正小标宋简体" w:hAnsi="方正小标宋简体" w:eastAsia="方正小标宋简体" w:cs="方正小标宋简体"/>
          <w:b w:val="0"/>
          <w:bCs w:val="0"/>
          <w:sz w:val="30"/>
          <w:szCs w:val="30"/>
          <w:lang w:eastAsia="zh-CN"/>
        </w:rPr>
        <w:t>附件</w:t>
      </w:r>
      <w:r>
        <w:rPr>
          <w:rFonts w:hint="eastAsia" w:ascii="方正小标宋简体" w:hAnsi="方正小标宋简体" w:eastAsia="方正小标宋简体" w:cs="方正小标宋简体"/>
          <w:b w:val="0"/>
          <w:bCs w:val="0"/>
          <w:sz w:val="30"/>
          <w:szCs w:val="30"/>
          <w:lang w:val="en-US" w:eastAsia="zh-CN"/>
        </w:rPr>
        <w:t>3</w:t>
      </w:r>
    </w:p>
    <w:p>
      <w:pPr>
        <w:jc w:val="center"/>
        <w:rPr>
          <w:rFonts w:hint="eastAsia" w:ascii="黑体" w:hAnsi="黑体" w:eastAsia="黑体"/>
          <w:sz w:val="36"/>
          <w:szCs w:val="36"/>
        </w:rPr>
      </w:pPr>
      <w:r>
        <w:rPr>
          <w:rFonts w:hint="eastAsia" w:ascii="黑体" w:hAnsi="黑体" w:eastAsia="黑体"/>
          <w:sz w:val="36"/>
          <w:szCs w:val="36"/>
          <w:lang w:eastAsia="zh-CN"/>
        </w:rPr>
        <w:t>迪庆州水务局</w:t>
      </w:r>
      <w:r>
        <w:rPr>
          <w:rFonts w:hint="eastAsia" w:ascii="黑体" w:hAnsi="黑体" w:eastAsia="黑体"/>
          <w:sz w:val="36"/>
          <w:szCs w:val="36"/>
          <w:lang w:val="en-US" w:eastAsia="zh-CN"/>
        </w:rPr>
        <w:t>2018</w:t>
      </w:r>
      <w:r>
        <w:rPr>
          <w:rFonts w:hint="eastAsia" w:ascii="黑体" w:hAnsi="黑体" w:eastAsia="黑体"/>
          <w:sz w:val="36"/>
          <w:szCs w:val="36"/>
        </w:rPr>
        <w:t>年度部门决算</w:t>
      </w:r>
    </w:p>
    <w:p>
      <w:pPr>
        <w:jc w:val="left"/>
        <w:rPr>
          <w:rFonts w:hint="eastAsia" w:ascii="黑体" w:hAnsi="黑体" w:eastAsia="黑体"/>
          <w:sz w:val="30"/>
          <w:szCs w:val="30"/>
        </w:rPr>
      </w:pPr>
      <w:r>
        <w:rPr>
          <w:rFonts w:hint="eastAsia" w:ascii="黑体" w:hAnsi="黑体" w:eastAsia="黑体"/>
          <w:sz w:val="30"/>
          <w:szCs w:val="30"/>
        </w:rPr>
        <w:t xml:space="preserve">第一部分  </w:t>
      </w:r>
      <w:r>
        <w:rPr>
          <w:rFonts w:hint="eastAsia" w:ascii="黑体" w:hAnsi="黑体" w:eastAsia="黑体"/>
          <w:sz w:val="30"/>
          <w:szCs w:val="30"/>
          <w:lang w:eastAsia="zh-CN"/>
        </w:rPr>
        <w:t>迪庆州水务局</w:t>
      </w:r>
      <w:r>
        <w:rPr>
          <w:rFonts w:hint="eastAsia" w:ascii="黑体" w:hAnsi="黑体" w:eastAsia="黑体"/>
          <w:sz w:val="30"/>
          <w:szCs w:val="30"/>
        </w:rPr>
        <w:t>概况</w:t>
      </w:r>
    </w:p>
    <w:p>
      <w:pPr>
        <w:spacing w:line="240" w:lineRule="atLeast"/>
        <w:jc w:val="left"/>
        <w:rPr>
          <w:rFonts w:hint="eastAsia" w:ascii="楷体" w:hAnsi="楷体" w:eastAsia="楷体"/>
          <w:sz w:val="30"/>
          <w:szCs w:val="30"/>
        </w:rPr>
      </w:pPr>
      <w:r>
        <w:rPr>
          <w:rFonts w:hint="eastAsia" w:ascii="楷体" w:hAnsi="楷体" w:eastAsia="楷体"/>
          <w:sz w:val="30"/>
          <w:szCs w:val="30"/>
        </w:rPr>
        <w:t>一、主要职能</w:t>
      </w:r>
    </w:p>
    <w:p>
      <w:pPr>
        <w:spacing w:line="240" w:lineRule="atLeast"/>
        <w:jc w:val="left"/>
        <w:rPr>
          <w:rFonts w:hint="eastAsia" w:ascii="楷体" w:hAnsi="楷体" w:eastAsia="楷体"/>
          <w:sz w:val="30"/>
          <w:szCs w:val="30"/>
        </w:rPr>
      </w:pPr>
      <w:r>
        <w:rPr>
          <w:rFonts w:hint="eastAsia" w:ascii="楷体" w:hAnsi="楷体" w:eastAsia="楷体"/>
          <w:sz w:val="30"/>
          <w:szCs w:val="30"/>
        </w:rPr>
        <w:t>二、部门基本情况</w:t>
      </w:r>
    </w:p>
    <w:p>
      <w:pPr>
        <w:jc w:val="left"/>
        <w:rPr>
          <w:rFonts w:hint="eastAsia" w:ascii="黑体" w:hAnsi="黑体" w:eastAsia="黑体"/>
          <w:sz w:val="30"/>
          <w:szCs w:val="30"/>
        </w:rPr>
      </w:pPr>
      <w:r>
        <w:rPr>
          <w:rFonts w:hint="eastAsia" w:ascii="黑体" w:hAnsi="黑体" w:eastAsia="黑体"/>
          <w:sz w:val="30"/>
          <w:szCs w:val="30"/>
        </w:rPr>
        <w:t xml:space="preserve">第二部分  </w:t>
      </w:r>
      <w:r>
        <w:rPr>
          <w:rFonts w:hint="eastAsia" w:ascii="黑体" w:hAnsi="黑体" w:eastAsia="黑体"/>
          <w:sz w:val="30"/>
          <w:szCs w:val="30"/>
          <w:lang w:val="en-US" w:eastAsia="zh-CN"/>
        </w:rPr>
        <w:t>2018</w:t>
      </w:r>
      <w:r>
        <w:rPr>
          <w:rFonts w:hint="eastAsia" w:ascii="黑体" w:hAnsi="黑体" w:eastAsia="黑体"/>
          <w:sz w:val="30"/>
          <w:szCs w:val="30"/>
        </w:rPr>
        <w:t>年度部门决算表</w:t>
      </w:r>
    </w:p>
    <w:p>
      <w:pPr>
        <w:jc w:val="left"/>
        <w:rPr>
          <w:rFonts w:hint="eastAsia" w:ascii="楷体" w:hAnsi="楷体" w:eastAsia="楷体"/>
          <w:sz w:val="30"/>
          <w:szCs w:val="30"/>
        </w:rPr>
      </w:pPr>
      <w:r>
        <w:rPr>
          <w:rFonts w:hint="eastAsia" w:ascii="楷体" w:hAnsi="楷体" w:eastAsia="楷体"/>
          <w:sz w:val="30"/>
          <w:szCs w:val="30"/>
        </w:rPr>
        <w:t>一、收入支出决算总表</w:t>
      </w:r>
    </w:p>
    <w:p>
      <w:pPr>
        <w:jc w:val="left"/>
        <w:rPr>
          <w:rFonts w:hint="eastAsia" w:ascii="楷体" w:hAnsi="楷体" w:eastAsia="楷体"/>
          <w:sz w:val="30"/>
          <w:szCs w:val="30"/>
        </w:rPr>
      </w:pPr>
      <w:r>
        <w:rPr>
          <w:rFonts w:hint="eastAsia" w:ascii="楷体" w:hAnsi="楷体" w:eastAsia="楷体"/>
          <w:sz w:val="30"/>
          <w:szCs w:val="30"/>
        </w:rPr>
        <w:t>二、收入决算表</w:t>
      </w:r>
    </w:p>
    <w:p>
      <w:pPr>
        <w:jc w:val="left"/>
        <w:rPr>
          <w:rFonts w:hint="eastAsia" w:ascii="楷体" w:hAnsi="楷体" w:eastAsia="楷体"/>
          <w:sz w:val="30"/>
          <w:szCs w:val="30"/>
        </w:rPr>
      </w:pPr>
      <w:r>
        <w:rPr>
          <w:rFonts w:hint="eastAsia" w:ascii="楷体" w:hAnsi="楷体" w:eastAsia="楷体"/>
          <w:sz w:val="30"/>
          <w:szCs w:val="30"/>
        </w:rPr>
        <w:t>三、支出决算表</w:t>
      </w:r>
    </w:p>
    <w:p>
      <w:pPr>
        <w:jc w:val="left"/>
        <w:rPr>
          <w:rFonts w:hint="eastAsia" w:ascii="楷体" w:hAnsi="楷体" w:eastAsia="楷体"/>
          <w:sz w:val="30"/>
          <w:szCs w:val="30"/>
        </w:rPr>
      </w:pPr>
      <w:r>
        <w:rPr>
          <w:rFonts w:hint="eastAsia" w:ascii="楷体" w:hAnsi="楷体" w:eastAsia="楷体"/>
          <w:sz w:val="30"/>
          <w:szCs w:val="30"/>
        </w:rPr>
        <w:t>四、财政拨款收入支出决算总表</w:t>
      </w:r>
    </w:p>
    <w:p>
      <w:pPr>
        <w:jc w:val="left"/>
        <w:rPr>
          <w:rFonts w:hint="eastAsia" w:ascii="楷体" w:hAnsi="楷体" w:eastAsia="楷体"/>
          <w:sz w:val="30"/>
          <w:szCs w:val="30"/>
        </w:rPr>
      </w:pPr>
      <w:r>
        <w:rPr>
          <w:rFonts w:hint="eastAsia" w:ascii="楷体" w:hAnsi="楷体" w:eastAsia="楷体"/>
          <w:sz w:val="30"/>
          <w:szCs w:val="30"/>
        </w:rPr>
        <w:t>五、一般公共预算财政拨款收入支出决算表</w:t>
      </w:r>
    </w:p>
    <w:p>
      <w:pPr>
        <w:jc w:val="left"/>
        <w:rPr>
          <w:rFonts w:hint="eastAsia" w:ascii="楷体" w:hAnsi="楷体" w:eastAsia="楷体"/>
          <w:sz w:val="30"/>
          <w:szCs w:val="30"/>
        </w:rPr>
      </w:pPr>
      <w:r>
        <w:rPr>
          <w:rFonts w:hint="eastAsia" w:ascii="楷体" w:hAnsi="楷体" w:eastAsia="楷体"/>
          <w:sz w:val="30"/>
          <w:szCs w:val="30"/>
        </w:rPr>
        <w:t>六、一般公共预算财政拨款基本支出决算表</w:t>
      </w:r>
    </w:p>
    <w:p>
      <w:pPr>
        <w:jc w:val="left"/>
        <w:rPr>
          <w:rFonts w:hint="eastAsia" w:ascii="楷体" w:hAnsi="楷体" w:eastAsia="楷体"/>
          <w:sz w:val="30"/>
          <w:szCs w:val="30"/>
        </w:rPr>
      </w:pPr>
      <w:r>
        <w:rPr>
          <w:rFonts w:hint="eastAsia" w:ascii="楷体" w:hAnsi="楷体" w:eastAsia="楷体"/>
          <w:sz w:val="30"/>
          <w:szCs w:val="30"/>
        </w:rPr>
        <w:t>七、政府性基金预算财政拨款收入支出决算表</w:t>
      </w:r>
    </w:p>
    <w:p>
      <w:pPr>
        <w:jc w:val="left"/>
        <w:rPr>
          <w:rFonts w:hint="eastAsia" w:ascii="楷体" w:hAnsi="楷体" w:eastAsia="楷体"/>
          <w:sz w:val="30"/>
          <w:szCs w:val="30"/>
        </w:rPr>
      </w:pPr>
      <w:r>
        <w:rPr>
          <w:rFonts w:hint="eastAsia" w:ascii="楷体" w:hAnsi="楷体" w:eastAsia="楷体"/>
          <w:sz w:val="30"/>
          <w:szCs w:val="30"/>
        </w:rPr>
        <w:t>八、财政专户管理资金收入支出决算表</w:t>
      </w:r>
    </w:p>
    <w:p>
      <w:pPr>
        <w:jc w:val="left"/>
        <w:rPr>
          <w:rFonts w:hint="eastAsia" w:ascii="楷体" w:hAnsi="楷体" w:eastAsia="楷体"/>
          <w:sz w:val="30"/>
          <w:szCs w:val="30"/>
        </w:rPr>
      </w:pPr>
      <w:r>
        <w:rPr>
          <w:rFonts w:hint="eastAsia" w:ascii="楷体" w:hAnsi="楷体" w:eastAsia="楷体"/>
          <w:sz w:val="30"/>
          <w:szCs w:val="30"/>
        </w:rPr>
        <w:t>九、“三公”经费、行政参公单位机关运行经费情况表</w:t>
      </w:r>
    </w:p>
    <w:p>
      <w:pPr>
        <w:jc w:val="left"/>
        <w:rPr>
          <w:rFonts w:hint="eastAsia" w:ascii="黑体" w:hAnsi="黑体" w:eastAsia="黑体"/>
          <w:sz w:val="30"/>
          <w:szCs w:val="30"/>
        </w:rPr>
      </w:pPr>
      <w:r>
        <w:rPr>
          <w:rFonts w:hint="eastAsia" w:ascii="黑体" w:hAnsi="黑体" w:eastAsia="黑体"/>
          <w:sz w:val="30"/>
          <w:szCs w:val="30"/>
        </w:rPr>
        <w:t>第三部</w:t>
      </w:r>
      <w:r>
        <w:rPr>
          <w:rFonts w:hint="eastAsia" w:ascii="黑体" w:hAnsi="黑体" w:eastAsia="黑体"/>
          <w:sz w:val="30"/>
          <w:szCs w:val="30"/>
          <w:lang w:eastAsia="zh-CN"/>
        </w:rPr>
        <w:t>分</w:t>
      </w:r>
      <w:r>
        <w:rPr>
          <w:rFonts w:hint="eastAsia" w:ascii="黑体" w:hAnsi="黑体" w:eastAsia="黑体"/>
          <w:sz w:val="30"/>
          <w:szCs w:val="30"/>
        </w:rPr>
        <w:t xml:space="preserve">  </w:t>
      </w:r>
      <w:r>
        <w:rPr>
          <w:rFonts w:hint="eastAsia" w:ascii="黑体" w:hAnsi="黑体" w:eastAsia="黑体"/>
          <w:sz w:val="30"/>
          <w:szCs w:val="30"/>
          <w:lang w:val="en-US" w:eastAsia="zh-CN"/>
        </w:rPr>
        <w:t>2018</w:t>
      </w:r>
      <w:r>
        <w:rPr>
          <w:rFonts w:hint="eastAsia" w:ascii="黑体" w:hAnsi="黑体" w:eastAsia="黑体"/>
          <w:sz w:val="30"/>
          <w:szCs w:val="30"/>
        </w:rPr>
        <w:t>年度部门决算情况说明</w:t>
      </w:r>
    </w:p>
    <w:p>
      <w:pPr>
        <w:jc w:val="left"/>
        <w:rPr>
          <w:rFonts w:hint="eastAsia" w:ascii="楷体" w:hAnsi="楷体" w:eastAsia="楷体"/>
          <w:sz w:val="30"/>
          <w:szCs w:val="30"/>
        </w:rPr>
      </w:pPr>
      <w:r>
        <w:rPr>
          <w:rFonts w:hint="eastAsia" w:ascii="楷体" w:hAnsi="楷体" w:eastAsia="楷体"/>
          <w:sz w:val="30"/>
          <w:szCs w:val="30"/>
        </w:rPr>
        <w:t>一、收入决算情况说明</w:t>
      </w:r>
    </w:p>
    <w:p>
      <w:pPr>
        <w:jc w:val="left"/>
        <w:rPr>
          <w:rFonts w:hint="eastAsia" w:ascii="楷体" w:hAnsi="楷体" w:eastAsia="楷体"/>
          <w:sz w:val="30"/>
          <w:szCs w:val="30"/>
        </w:rPr>
      </w:pPr>
      <w:r>
        <w:rPr>
          <w:rFonts w:hint="eastAsia" w:ascii="楷体" w:hAnsi="楷体" w:eastAsia="楷体"/>
          <w:sz w:val="30"/>
          <w:szCs w:val="30"/>
        </w:rPr>
        <w:t>二、支出决算情况说明</w:t>
      </w:r>
    </w:p>
    <w:p>
      <w:pPr>
        <w:jc w:val="left"/>
        <w:rPr>
          <w:rFonts w:hint="eastAsia" w:ascii="楷体" w:hAnsi="楷体" w:eastAsia="楷体"/>
          <w:sz w:val="30"/>
          <w:szCs w:val="30"/>
        </w:rPr>
      </w:pPr>
      <w:r>
        <w:rPr>
          <w:rFonts w:hint="eastAsia" w:ascii="楷体" w:hAnsi="楷体" w:eastAsia="楷体"/>
          <w:sz w:val="30"/>
          <w:szCs w:val="30"/>
        </w:rPr>
        <w:t>三、一般公共预算财政拨款支出决算情况说明</w:t>
      </w:r>
    </w:p>
    <w:p>
      <w:pPr>
        <w:widowControl/>
        <w:snapToGrid w:val="0"/>
        <w:spacing w:before="100" w:after="100" w:line="360" w:lineRule="auto"/>
        <w:jc w:val="left"/>
        <w:rPr>
          <w:rFonts w:hint="eastAsia" w:ascii="楷体" w:hAnsi="楷体" w:eastAsia="楷体"/>
          <w:sz w:val="30"/>
          <w:szCs w:val="30"/>
        </w:rPr>
      </w:pPr>
      <w:r>
        <w:rPr>
          <w:rFonts w:hint="eastAsia" w:ascii="楷体" w:hAnsi="楷体" w:eastAsia="楷体"/>
          <w:sz w:val="30"/>
          <w:szCs w:val="30"/>
        </w:rPr>
        <w:t>四、一般公共预算财政拨款“三公”经费支出决算情况说明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lang w:eastAsia="zh-CN"/>
        </w:rPr>
        <w:t>第四部分</w:t>
      </w:r>
      <w:r>
        <w:rPr>
          <w:rFonts w:hint="eastAsia" w:ascii="楷体" w:hAnsi="楷体" w:eastAsia="楷体"/>
          <w:sz w:val="30"/>
          <w:szCs w:val="30"/>
          <w:lang w:val="en-US" w:eastAsia="zh-CN"/>
        </w:rPr>
        <w:t xml:space="preserve">  </w:t>
      </w:r>
      <w:r>
        <w:rPr>
          <w:rFonts w:hint="eastAsia" w:ascii="黑体" w:hAnsi="黑体" w:eastAsia="黑体"/>
          <w:sz w:val="30"/>
          <w:szCs w:val="30"/>
        </w:rPr>
        <w:t>其他重要事项及相关口径情况说明</w:t>
      </w:r>
    </w:p>
    <w:p>
      <w:pPr>
        <w:jc w:val="left"/>
        <w:rPr>
          <w:rFonts w:hint="eastAsia" w:ascii="楷体" w:hAnsi="楷体" w:eastAsia="楷体"/>
          <w:sz w:val="30"/>
          <w:szCs w:val="30"/>
          <w:lang w:eastAsia="zh-CN"/>
        </w:rPr>
      </w:pPr>
      <w:r>
        <w:rPr>
          <w:rFonts w:hint="eastAsia" w:ascii="楷体" w:hAnsi="楷体" w:eastAsia="楷体"/>
          <w:sz w:val="30"/>
          <w:szCs w:val="30"/>
          <w:lang w:eastAsia="zh-CN"/>
        </w:rPr>
        <w:t>一、</w:t>
      </w:r>
      <w:r>
        <w:rPr>
          <w:rFonts w:hint="eastAsia" w:ascii="楷体" w:hAnsi="楷体" w:eastAsia="楷体"/>
          <w:sz w:val="30"/>
          <w:szCs w:val="30"/>
        </w:rPr>
        <w:t>机关运行经费支出情况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二、</w:t>
      </w:r>
      <w:r>
        <w:rPr>
          <w:rFonts w:hint="eastAsia" w:ascii="楷体" w:hAnsi="楷体" w:eastAsia="楷体"/>
          <w:sz w:val="30"/>
          <w:szCs w:val="30"/>
        </w:rPr>
        <w:t>国有资产占用情况</w:t>
      </w:r>
    </w:p>
    <w:p>
      <w:pPr>
        <w:jc w:val="left"/>
        <w:rPr>
          <w:rFonts w:hint="eastAsia" w:ascii="楷体" w:hAnsi="楷体" w:eastAsia="楷体"/>
          <w:sz w:val="30"/>
          <w:szCs w:val="30"/>
          <w:lang w:eastAsia="zh-CN"/>
        </w:rPr>
      </w:pPr>
      <w:r>
        <w:rPr>
          <w:rFonts w:hint="eastAsia" w:ascii="楷体" w:hAnsi="楷体" w:eastAsia="楷体"/>
          <w:sz w:val="30"/>
          <w:szCs w:val="30"/>
          <w:lang w:eastAsia="zh-CN"/>
        </w:rPr>
        <w:t>三、</w:t>
      </w:r>
      <w:r>
        <w:rPr>
          <w:rFonts w:hint="eastAsia" w:ascii="楷体" w:hAnsi="楷体" w:eastAsia="楷体"/>
          <w:sz w:val="30"/>
          <w:szCs w:val="30"/>
        </w:rPr>
        <w:t>政府采购支出情况</w:t>
      </w:r>
    </w:p>
    <w:p>
      <w:pPr>
        <w:jc w:val="left"/>
        <w:rPr>
          <w:rFonts w:hint="eastAsia" w:ascii="楷体" w:hAnsi="楷体" w:eastAsia="楷体"/>
          <w:sz w:val="30"/>
          <w:szCs w:val="30"/>
          <w:lang w:val="en-US" w:eastAsia="zh-CN"/>
        </w:rPr>
      </w:pPr>
      <w:r>
        <w:rPr>
          <w:rFonts w:hint="eastAsia" w:ascii="楷体" w:hAnsi="楷体" w:eastAsia="楷体"/>
          <w:sz w:val="30"/>
          <w:szCs w:val="30"/>
          <w:lang w:eastAsia="zh-CN"/>
        </w:rPr>
        <w:t>四、</w:t>
      </w:r>
      <w:r>
        <w:rPr>
          <w:rFonts w:hint="eastAsia" w:ascii="楷体" w:hAnsi="楷体" w:eastAsia="楷体"/>
          <w:sz w:val="30"/>
          <w:szCs w:val="30"/>
          <w:lang w:val="en-US" w:eastAsia="zh-CN"/>
        </w:rPr>
        <w:t>部门绩效自评情况</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（一）</w:t>
      </w:r>
      <w:r>
        <w:rPr>
          <w:rFonts w:hint="eastAsia" w:ascii="楷体" w:hAnsi="楷体" w:eastAsia="楷体"/>
          <w:sz w:val="30"/>
          <w:szCs w:val="30"/>
          <w:lang w:eastAsia="zh-CN"/>
        </w:rPr>
        <w:t>项目支出概况</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（二）</w:t>
      </w:r>
      <w:r>
        <w:rPr>
          <w:rFonts w:hint="eastAsia" w:ascii="楷体" w:hAnsi="楷体" w:eastAsia="楷体"/>
          <w:sz w:val="30"/>
          <w:szCs w:val="30"/>
          <w:lang w:eastAsia="zh-CN"/>
        </w:rPr>
        <w:t>项目支出绩效自评</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（三）</w:t>
      </w:r>
      <w:r>
        <w:rPr>
          <w:rFonts w:hint="eastAsia" w:ascii="楷体" w:hAnsi="楷体" w:eastAsia="楷体"/>
          <w:sz w:val="30"/>
          <w:szCs w:val="30"/>
          <w:lang w:eastAsia="zh-CN"/>
        </w:rPr>
        <w:t>项目绩效目标管理</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（四）</w:t>
      </w:r>
      <w:r>
        <w:rPr>
          <w:rFonts w:hint="eastAsia" w:ascii="楷体" w:hAnsi="楷体" w:eastAsia="楷体"/>
          <w:sz w:val="30"/>
          <w:szCs w:val="30"/>
          <w:lang w:eastAsia="zh-CN"/>
        </w:rPr>
        <w:t>2018部门整体支出绩效自评报告</w:t>
      </w:r>
    </w:p>
    <w:p>
      <w:pPr>
        <w:jc w:val="left"/>
        <w:rPr>
          <w:rFonts w:hint="eastAsia" w:ascii="楷体" w:hAnsi="楷体" w:eastAsia="楷体"/>
          <w:sz w:val="30"/>
          <w:szCs w:val="30"/>
          <w:lang w:val="en-US" w:eastAsia="zh-CN"/>
        </w:rPr>
      </w:pPr>
      <w:r>
        <w:rPr>
          <w:rFonts w:hint="eastAsia" w:ascii="楷体" w:hAnsi="楷体" w:eastAsia="楷体"/>
          <w:sz w:val="30"/>
          <w:szCs w:val="30"/>
          <w:lang w:val="en-US" w:eastAsia="zh-CN"/>
        </w:rPr>
        <w:t>（五）</w:t>
      </w:r>
      <w:r>
        <w:rPr>
          <w:rFonts w:hint="eastAsia" w:ascii="楷体" w:hAnsi="楷体" w:eastAsia="楷体"/>
          <w:sz w:val="30"/>
          <w:szCs w:val="30"/>
          <w:lang w:eastAsia="zh-CN"/>
        </w:rPr>
        <w:t>部门整体支出绩效自评表</w:t>
      </w:r>
    </w:p>
    <w:p>
      <w:pPr>
        <w:jc w:val="left"/>
        <w:rPr>
          <w:rFonts w:hint="eastAsia" w:ascii="楷体" w:hAnsi="楷体" w:eastAsia="楷体"/>
          <w:sz w:val="30"/>
          <w:szCs w:val="30"/>
          <w:lang w:eastAsia="zh-CN"/>
        </w:rPr>
      </w:pPr>
      <w:r>
        <w:rPr>
          <w:rFonts w:hint="eastAsia" w:ascii="楷体" w:hAnsi="楷体" w:eastAsia="楷体"/>
          <w:sz w:val="30"/>
          <w:szCs w:val="30"/>
          <w:lang w:eastAsia="zh-CN"/>
        </w:rPr>
        <w:t>五、</w:t>
      </w:r>
      <w:r>
        <w:rPr>
          <w:rFonts w:hint="eastAsia" w:ascii="楷体" w:hAnsi="楷体" w:eastAsia="楷体"/>
          <w:sz w:val="30"/>
          <w:szCs w:val="30"/>
          <w:lang w:val="en-US" w:eastAsia="zh-CN"/>
        </w:rPr>
        <w:t>其他重要事项情况说明</w:t>
      </w:r>
    </w:p>
    <w:p>
      <w:pPr>
        <w:widowControl/>
        <w:snapToGrid w:val="0"/>
        <w:spacing w:before="100" w:after="100" w:line="360" w:lineRule="auto"/>
        <w:jc w:val="left"/>
        <w:rPr>
          <w:rFonts w:hint="eastAsia" w:ascii="黑体" w:hAnsi="黑体" w:eastAsia="黑体"/>
          <w:sz w:val="30"/>
          <w:szCs w:val="30"/>
        </w:rPr>
      </w:pPr>
      <w:r>
        <w:rPr>
          <w:rFonts w:hint="eastAsia" w:ascii="黑体" w:hAnsi="黑体" w:eastAsia="黑体"/>
          <w:sz w:val="30"/>
          <w:szCs w:val="30"/>
        </w:rPr>
        <w:t>第</w:t>
      </w:r>
      <w:r>
        <w:rPr>
          <w:rFonts w:hint="eastAsia" w:ascii="黑体" w:hAnsi="黑体" w:eastAsia="黑体"/>
          <w:sz w:val="30"/>
          <w:szCs w:val="30"/>
          <w:lang w:eastAsia="zh-CN"/>
        </w:rPr>
        <w:t>五</w:t>
      </w:r>
      <w:r>
        <w:rPr>
          <w:rFonts w:hint="eastAsia" w:ascii="黑体" w:hAnsi="黑体" w:eastAsia="黑体"/>
          <w:sz w:val="30"/>
          <w:szCs w:val="30"/>
        </w:rPr>
        <w:t>部分  名词解释</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both"/>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迪庆州水务局</w:t>
      </w:r>
      <w:r>
        <w:rPr>
          <w:rFonts w:hint="eastAsia" w:ascii="黑体" w:hAnsi="黑体" w:eastAsia="黑体"/>
          <w:sz w:val="32"/>
          <w:szCs w:val="32"/>
        </w:rPr>
        <w:t>概况</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一、主要职能</w:t>
      </w:r>
    </w:p>
    <w:p>
      <w:pPr>
        <w:spacing w:line="600" w:lineRule="exact"/>
        <w:ind w:firstLine="600" w:firstLineChars="200"/>
        <w:rPr>
          <w:rFonts w:hint="eastAsia" w:ascii="楷体" w:hAnsi="楷体" w:eastAsia="楷体"/>
          <w:sz w:val="30"/>
          <w:szCs w:val="30"/>
        </w:rPr>
      </w:pPr>
      <w:r>
        <w:rPr>
          <w:rFonts w:hint="eastAsia" w:ascii="楷体" w:hAnsi="楷体" w:eastAsia="楷体"/>
          <w:bCs/>
          <w:sz w:val="30"/>
          <w:szCs w:val="30"/>
        </w:rPr>
        <w:t>（一）主要职能</w:t>
      </w:r>
    </w:p>
    <w:p>
      <w:pPr>
        <w:pStyle w:val="2"/>
        <w:adjustRightInd w:val="0"/>
        <w:snapToGrid w:val="0"/>
        <w:spacing w:line="600" w:lineRule="exact"/>
        <w:ind w:firstLine="630" w:firstLineChars="210"/>
        <w:rPr>
          <w:rFonts w:hint="eastAsia"/>
          <w:bCs/>
          <w:szCs w:val="30"/>
        </w:rPr>
      </w:pPr>
      <w:r>
        <w:rPr>
          <w:rFonts w:hint="eastAsia"/>
          <w:bCs/>
          <w:szCs w:val="30"/>
        </w:rPr>
        <w:t>1、贯彻执行国家和省水行政的方针、政策和法规；拟定全州水利水电工作的方针、政策，组织起草有关法规规章及监督实施。</w:t>
      </w:r>
    </w:p>
    <w:p>
      <w:pPr>
        <w:pStyle w:val="2"/>
        <w:adjustRightInd w:val="0"/>
        <w:snapToGrid w:val="0"/>
        <w:spacing w:line="600" w:lineRule="exact"/>
        <w:ind w:firstLine="630" w:firstLineChars="210"/>
        <w:rPr>
          <w:rFonts w:hint="eastAsia"/>
          <w:bCs/>
          <w:szCs w:val="30"/>
        </w:rPr>
      </w:pPr>
      <w:r>
        <w:rPr>
          <w:rFonts w:hint="eastAsia"/>
          <w:bCs/>
          <w:szCs w:val="30"/>
        </w:rPr>
        <w:t>2、组织拟定全州水利和地方电力的发展战略和中长期规划及年度计划、组织编制重要江河的流域综合规划和指导协调流域的有关专业规划并监督实施。</w:t>
      </w:r>
    </w:p>
    <w:p>
      <w:pPr>
        <w:pStyle w:val="2"/>
        <w:adjustRightInd w:val="0"/>
        <w:snapToGrid w:val="0"/>
        <w:spacing w:line="600" w:lineRule="exact"/>
        <w:ind w:firstLine="630" w:firstLineChars="210"/>
        <w:rPr>
          <w:rFonts w:hint="eastAsia"/>
          <w:bCs/>
          <w:szCs w:val="30"/>
        </w:rPr>
      </w:pPr>
      <w:r>
        <w:rPr>
          <w:rFonts w:hint="eastAsia"/>
          <w:bCs/>
          <w:szCs w:val="30"/>
        </w:rPr>
        <w:t>3、统一管理全州水资源；组织拟定全州和跨县水中长期供求计划、水量分配方案并监督实施；组织有关国民经济总体规划、城市规划及重大建设项目的水资源和防洪的论证工作；组织实施取水许可制度和水资源费的征收制度。</w:t>
      </w:r>
    </w:p>
    <w:p>
      <w:pPr>
        <w:pStyle w:val="2"/>
        <w:adjustRightInd w:val="0"/>
        <w:snapToGrid w:val="0"/>
        <w:spacing w:line="600" w:lineRule="exact"/>
        <w:ind w:firstLine="630" w:firstLineChars="210"/>
        <w:rPr>
          <w:rFonts w:hint="eastAsia"/>
          <w:bCs/>
          <w:szCs w:val="30"/>
        </w:rPr>
      </w:pPr>
      <w:r>
        <w:rPr>
          <w:rFonts w:hint="eastAsia"/>
          <w:bCs/>
          <w:szCs w:val="30"/>
        </w:rPr>
        <w:t>4、拟定用水计划、节约用水政策，编制节约用水规划，制定有关标准组织、指导和监督节约用水工作。</w:t>
      </w:r>
    </w:p>
    <w:p>
      <w:pPr>
        <w:pStyle w:val="2"/>
        <w:adjustRightInd w:val="0"/>
        <w:snapToGrid w:val="0"/>
        <w:spacing w:line="600" w:lineRule="exact"/>
        <w:ind w:firstLine="630" w:firstLineChars="210"/>
        <w:rPr>
          <w:rFonts w:hint="eastAsia"/>
          <w:bCs/>
          <w:szCs w:val="30"/>
        </w:rPr>
      </w:pPr>
      <w:r>
        <w:rPr>
          <w:rFonts w:hint="eastAsia"/>
          <w:bCs/>
          <w:szCs w:val="30"/>
        </w:rPr>
        <w:t>5、按照国家资源与保护的有关法律法规和标准，拟定水资源保护规划并实施监督管理；组织水功能区的划分和向饮水区等水域排污的控制；监测江河湖库的水量、水质，审定水域纳污能力。</w:t>
      </w:r>
    </w:p>
    <w:p>
      <w:pPr>
        <w:pStyle w:val="2"/>
        <w:adjustRightInd w:val="0"/>
        <w:snapToGrid w:val="0"/>
        <w:spacing w:line="600" w:lineRule="exact"/>
        <w:ind w:firstLine="630" w:firstLineChars="210"/>
        <w:rPr>
          <w:rFonts w:hint="eastAsia"/>
          <w:bCs/>
          <w:szCs w:val="30"/>
        </w:rPr>
      </w:pPr>
      <w:r>
        <w:rPr>
          <w:rFonts w:hint="eastAsia"/>
          <w:bCs/>
          <w:szCs w:val="30"/>
        </w:rPr>
        <w:t>6、组织指导水政监察和水行政执法；协调并仲裁部门间和各县之间的水事纠纷。</w:t>
      </w:r>
    </w:p>
    <w:p>
      <w:pPr>
        <w:pStyle w:val="2"/>
        <w:adjustRightInd w:val="0"/>
        <w:snapToGrid w:val="0"/>
        <w:spacing w:line="600" w:lineRule="exact"/>
        <w:ind w:firstLine="630" w:firstLineChars="210"/>
        <w:rPr>
          <w:rFonts w:hint="eastAsia"/>
          <w:bCs/>
          <w:szCs w:val="30"/>
        </w:rPr>
      </w:pPr>
      <w:r>
        <w:rPr>
          <w:rFonts w:hint="eastAsia"/>
          <w:bCs/>
          <w:szCs w:val="30"/>
        </w:rPr>
        <w:t>7、拟定水利水电行业的经济调节措施；对水利水电资金的使用进行调节并实施监督；指导水利行业的供水及多种经营工作；研究提出有关水利的价格、税收、财务等经济调节意见；监督和管理水利行业国有资产。</w:t>
      </w:r>
    </w:p>
    <w:p>
      <w:pPr>
        <w:pStyle w:val="2"/>
        <w:adjustRightInd w:val="0"/>
        <w:snapToGrid w:val="0"/>
        <w:spacing w:line="600" w:lineRule="exact"/>
        <w:ind w:firstLine="630" w:firstLineChars="210"/>
        <w:rPr>
          <w:rFonts w:hint="eastAsia"/>
          <w:bCs/>
          <w:szCs w:val="30"/>
        </w:rPr>
      </w:pPr>
      <w:r>
        <w:rPr>
          <w:rFonts w:hint="eastAsia"/>
          <w:bCs/>
          <w:szCs w:val="30"/>
        </w:rPr>
        <w:t>8、组织编制并负责审查、上报水利水电基建项目建议书、可行性研究报告、初步设计报告；组织水利水电科学研究和技术推广；组织落实水利水电行业技术质量标准和水利工程规程、规范并监督实施。</w:t>
      </w:r>
    </w:p>
    <w:p>
      <w:pPr>
        <w:pStyle w:val="2"/>
        <w:adjustRightInd w:val="0"/>
        <w:snapToGrid w:val="0"/>
        <w:spacing w:line="600" w:lineRule="exact"/>
        <w:ind w:firstLine="630" w:firstLineChars="210"/>
        <w:rPr>
          <w:rFonts w:hint="eastAsia"/>
          <w:bCs/>
          <w:szCs w:val="30"/>
        </w:rPr>
      </w:pPr>
      <w:r>
        <w:rPr>
          <w:rFonts w:hint="eastAsia"/>
          <w:bCs/>
          <w:szCs w:val="30"/>
        </w:rPr>
        <w:t>9、组织指导水利设施、水流域管理与保护；组织指导江河湖泊及河口滩涂的治理和开发；组织建设和管理具有控制性的重要水利工程；组织指导水库电站大坝的安全监督。</w:t>
      </w:r>
    </w:p>
    <w:p>
      <w:pPr>
        <w:pStyle w:val="2"/>
        <w:adjustRightInd w:val="0"/>
        <w:snapToGrid w:val="0"/>
        <w:spacing w:line="600" w:lineRule="exact"/>
        <w:ind w:firstLine="630" w:firstLineChars="210"/>
        <w:rPr>
          <w:rFonts w:hint="eastAsia"/>
          <w:bCs/>
          <w:szCs w:val="30"/>
        </w:rPr>
      </w:pPr>
      <w:r>
        <w:rPr>
          <w:rFonts w:hint="eastAsia"/>
          <w:bCs/>
          <w:szCs w:val="30"/>
        </w:rPr>
        <w:t>10、主管农村水利、农村饮水和乡镇供水工作；组织协调农田水利基本建设工作；指导农村水利社会化服务体系建设。</w:t>
      </w:r>
    </w:p>
    <w:p>
      <w:pPr>
        <w:pStyle w:val="2"/>
        <w:adjustRightInd w:val="0"/>
        <w:snapToGrid w:val="0"/>
        <w:spacing w:line="600" w:lineRule="exact"/>
        <w:ind w:firstLine="630" w:firstLineChars="210"/>
        <w:rPr>
          <w:rFonts w:hint="eastAsia"/>
          <w:bCs/>
          <w:szCs w:val="30"/>
        </w:rPr>
      </w:pPr>
      <w:r>
        <w:rPr>
          <w:rFonts w:hint="eastAsia"/>
          <w:bCs/>
          <w:szCs w:val="30"/>
        </w:rPr>
        <w:t>11、组织全州水土保持工作；包括编制、审批水土保持规划及方案、监测、综合防治并发布公告。</w:t>
      </w:r>
    </w:p>
    <w:p>
      <w:pPr>
        <w:pStyle w:val="2"/>
        <w:adjustRightInd w:val="0"/>
        <w:snapToGrid w:val="0"/>
        <w:spacing w:line="600" w:lineRule="exact"/>
        <w:ind w:firstLine="630" w:firstLineChars="210"/>
        <w:rPr>
          <w:rFonts w:hint="eastAsia"/>
          <w:bCs/>
          <w:szCs w:val="30"/>
        </w:rPr>
      </w:pPr>
      <w:r>
        <w:rPr>
          <w:rFonts w:hint="eastAsia"/>
          <w:bCs/>
          <w:szCs w:val="30"/>
        </w:rPr>
        <w:t>12、对 全州小水电实行行业管理；组织协调农村水电电气化工作；组织协调实施全州农电体制改革、农网改造和电力扶贫工作。</w:t>
      </w:r>
    </w:p>
    <w:p>
      <w:pPr>
        <w:pStyle w:val="2"/>
        <w:adjustRightInd w:val="0"/>
        <w:snapToGrid w:val="0"/>
        <w:spacing w:line="600" w:lineRule="exact"/>
        <w:ind w:firstLine="630" w:firstLineChars="210"/>
        <w:rPr>
          <w:rFonts w:hint="eastAsia"/>
          <w:bCs/>
          <w:szCs w:val="30"/>
        </w:rPr>
      </w:pPr>
      <w:r>
        <w:rPr>
          <w:rFonts w:hint="eastAsia"/>
          <w:bCs/>
          <w:szCs w:val="30"/>
        </w:rPr>
        <w:t>13、负责水利系统的科技、教育和对外经济。技术合作与交流工作；指导水利队伍建设。</w:t>
      </w:r>
    </w:p>
    <w:p>
      <w:pPr>
        <w:pStyle w:val="2"/>
        <w:adjustRightInd w:val="0"/>
        <w:snapToGrid w:val="0"/>
        <w:spacing w:line="600" w:lineRule="exact"/>
        <w:ind w:firstLine="630" w:firstLineChars="210"/>
        <w:rPr>
          <w:rFonts w:hint="eastAsia"/>
          <w:bCs/>
          <w:szCs w:val="30"/>
        </w:rPr>
      </w:pPr>
      <w:r>
        <w:rPr>
          <w:rFonts w:hint="eastAsia"/>
          <w:bCs/>
          <w:szCs w:val="30"/>
        </w:rPr>
        <w:t>14、承担州防汛抗旱指挥部的日常工作；组织协调、监督、指导全州防洪和抗旱工作，对江河湖泊和重要水利水电工程的防汛抗旱实施统一调度和管理。</w:t>
      </w:r>
    </w:p>
    <w:p>
      <w:pPr>
        <w:pStyle w:val="2"/>
        <w:adjustRightInd w:val="0"/>
        <w:snapToGrid w:val="0"/>
        <w:spacing w:line="600" w:lineRule="exact"/>
        <w:ind w:firstLine="630" w:firstLineChars="210"/>
        <w:rPr>
          <w:rFonts w:hint="eastAsia"/>
          <w:bCs/>
          <w:szCs w:val="30"/>
        </w:rPr>
      </w:pPr>
      <w:r>
        <w:rPr>
          <w:rFonts w:hint="eastAsia"/>
          <w:bCs/>
          <w:szCs w:val="30"/>
        </w:rPr>
        <w:t>15、承办州委、政府和上级有关部门交办的其他工作。</w:t>
      </w:r>
    </w:p>
    <w:p>
      <w:pPr>
        <w:pStyle w:val="2"/>
        <w:adjustRightInd w:val="0"/>
        <w:snapToGrid w:val="0"/>
        <w:spacing w:line="600" w:lineRule="exact"/>
        <w:ind w:firstLine="630" w:firstLineChars="210"/>
        <w:rPr>
          <w:rFonts w:hint="eastAsia" w:ascii="楷体" w:hAnsi="楷体" w:eastAsia="楷体"/>
          <w:bCs/>
          <w:szCs w:val="30"/>
        </w:rPr>
      </w:pPr>
      <w:r>
        <w:rPr>
          <w:rFonts w:hint="eastAsia" w:ascii="楷体" w:hAnsi="楷体" w:eastAsia="楷体"/>
          <w:bCs/>
          <w:szCs w:val="30"/>
        </w:rPr>
        <w:t>（二）</w:t>
      </w:r>
      <w:r>
        <w:rPr>
          <w:rFonts w:hint="eastAsia" w:ascii="楷体" w:hAnsi="楷体" w:eastAsia="楷体"/>
          <w:bCs/>
          <w:szCs w:val="30"/>
          <w:lang w:val="en-US" w:eastAsia="zh-CN"/>
        </w:rPr>
        <w:t>2018</w:t>
      </w:r>
      <w:r>
        <w:rPr>
          <w:rFonts w:hint="eastAsia" w:ascii="楷体" w:hAnsi="楷体" w:eastAsia="楷体"/>
          <w:bCs/>
          <w:szCs w:val="30"/>
        </w:rPr>
        <w:t>年度重点工作任务介绍</w:t>
      </w:r>
    </w:p>
    <w:p>
      <w:pPr>
        <w:pStyle w:val="2"/>
        <w:adjustRightInd w:val="0"/>
        <w:snapToGrid w:val="0"/>
        <w:spacing w:line="600" w:lineRule="exact"/>
        <w:ind w:firstLine="630" w:firstLineChars="210"/>
        <w:rPr>
          <w:rFonts w:hint="eastAsia"/>
          <w:bCs/>
          <w:szCs w:val="30"/>
        </w:rPr>
      </w:pPr>
      <w:r>
        <w:rPr>
          <w:rFonts w:hint="eastAsia"/>
          <w:bCs/>
          <w:szCs w:val="30"/>
        </w:rPr>
        <w:t>2018年，本单位按照“依法治水、深化改革、突出民生、加快发展”的总体思路，围绕省水利厅、州委、州政府的中心工作和目标任务，以提高供水保障能力、水利工程管理水平、行业自律能力、依法管水治水能力，增强洪涝灾害应对和综合防御能力，增强水生态环境保护和修复能力，改善农业灌溉和农村饮水安全条件，提升水利为经济社会发展服务的水平，全面推进全州水利发展改革工作。</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1、</w:t>
      </w:r>
      <w:r>
        <w:rPr>
          <w:rFonts w:hint="eastAsia"/>
          <w:bCs/>
          <w:szCs w:val="30"/>
        </w:rPr>
        <w:t>抓牢水利投资。通过积极向上争取，全州落实到位水利专项资金108195万元，完成水利固定资产投资55252万元，完成州政府下达任务数52440万元的105.3%。一是抓好重点水源点工程建设。年内，小中甸水库、康思水库基本完成建设任务，进入总体验收阶段；德钦谷久浓水库完成水库主体工程导流兼输水隧洞的贯通和部分输水管道线开挖工程，完成投资12156万元；维西县拉多阁水库拉多阁水库完成通讯光缆建设，正在实施进场道路，输电线路工程已完成招投标，主体工程在2019年1月7日开标，完成投资11504万元；香格里拉毕桑谷水库完成招投标，林地手续已获国家批复，进场道路、征地拆迁等进场建设，完成投资4700万元。二是抓好农田水利建设。实施农田水利及高效节水工程13件，完成投资4078万元。实施中低产田地暨高标准农田建设1.43万亩，完成投资2084万元。三是实施农村水电阿东河一级水电站增效扩容项目完成投资1553万元，预计2019年3月前实现全面完工。四是实施农村安全饮水巩固提升工程261件，完成投资10920万元。五是实施了桑那、古龙、蕨菜山3个小流域综合治理项目，工程已基本完成，完成投资1560万元。</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2、</w:t>
      </w:r>
      <w:r>
        <w:rPr>
          <w:rFonts w:hint="eastAsia"/>
          <w:bCs/>
          <w:szCs w:val="30"/>
        </w:rPr>
        <w:t>抓实脱贫攻坚。提高政治站位，深刻认识脱贫攻坚就是当前最大的政治，最核心的任务。紧紧抓住“人喝水、地浇水”两个方面重点，服务于脱贫攻坚。充分利用藏区规划和深度贫困脱贫攻坚规划，共争取落实上级专项资金2400万元，各县市涉农资金整合8520万元用于农村安全饮水巩固提升工程。由于今年汛期水毁严重，特别是受“11.3”金沙江白格堰塞湖泄洪灾害影响，农村安饮设施受损突出，为确保人人有水喝，先后分三批实施农村安全饮水巩固提升261件，解决和改善5.86万人。同时，为逐步提升农村饮用水水质合格率，编制完成了2018-2020农村饮水水质提升实施方案，启动了30件水质提升工程，计划覆盖3.2万人。结合农业产业发展，积极开展农田水利建设，推广高效节水措施，提高有效灌溉面积，实施了金江镇大火山-木斯扎片区、奔子栏镇古龙片区药材种植基地等高效节水灌溉项目，五镜乡霞珠村车达塘片区、上江乡木高村拉直古一、二组、霞若乡施坝村片区等山区小水网建设项目，羊拉乡甲功村罗仁、燕门乡茨中村喜马拉扎水利、保和镇高泉村港浪布水利、攀天阁乡嘎嘎塘村俄石组、勺洛组、叶枝镇松洛大沟、塔城镇其宗大沟、永春乡三家村拖枝大沟等灌溉工程。全州完成新增高效节水灌溉面积0.9万亩。为全州脱贫攻坚的有序推进提供水利保障。同时，积极支持和配合乡村开展好“挂包帮”工作，重点在水利设施建设、政策宣传和灾后恢复重建等方面给予了大力支持。同时，积极支持和配合乡村开展好“挂包帮”工作，重点在水利设施建设、政策宣传和灾后恢复重建等方面给予了大力支持。</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3、</w:t>
      </w:r>
      <w:r>
        <w:rPr>
          <w:rFonts w:hint="eastAsia"/>
          <w:bCs/>
          <w:szCs w:val="30"/>
        </w:rPr>
        <w:t>抓紧规划前期。紧紧围绕“十三五”水利发展规划、国家支持藏区发展规划和“三区三州”深度贫困脱贫攻坚规划，加大前期工作力度，做好项目储备，全力补充水利项目储备不足短板，做深做实项目前期工作。年内全面完成拉多阁水库、毕桑谷水库、城镇防洪工程（一期）、永春河治理工程（三期）、永芝河治理工程、珠巴洛河拖顶段治理工程、硕多岗河建塘镇段治理工程、农村安全饮水巩固提升工程、农田水利灌溉工程、小流域综合治理等一批项目的前期工作，实现实质性开工建设；完成了忠太水库初步设计和三岔河中型水库、澜沧江防洪工程、保和镇阿三多小（一）型水库、可行性研究报告；开展了永春乡几青库小（一）型水库、塔城哈达小（一）型水库、拖顶各加尼拉小（一）型水库、“11.3”金沙江白格堰塞湖泄洪灾后恢复重建金沙江防洪工程和金沙江提灌工程恢复重建实施方案、桑那水库水源地保护方案等项目的前期工作，取得阶段性成果。为下一步的水利基础设施全面建设做好充足的准备。</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4、</w:t>
      </w:r>
      <w:r>
        <w:rPr>
          <w:rFonts w:hint="eastAsia"/>
          <w:bCs/>
          <w:szCs w:val="30"/>
        </w:rPr>
        <w:t>抓好生态文明建设。以全面推进河长制工作为主线，实施绿水行动，认真践行“绿水青山就是金山银山”理念。一是深入推进河湖长制工作。全州共落实四级河长992名，通过推进“迪庆清水行动”，四级河湖长累计巡河6837人次，清理河道877.73公里，清理垃圾355吨，初步形成河河有人看、湖湖有人管。组织编制完成了“一河（湖）一策”、“一河（湖）一档”，对173条河、11座水库、7个湖泊、5条渠道开展了排查，建立问题清单，明确责任单位、责任人、工作目标、整改时限，为各级河长及责任单位提供基础资料；二是加强水资源管理。继续实行最严格水资源管理制度，加强取水许可和水资源费征管，目前，全州保有取水许可证113个，申请取用水量为149.45亿立方米，年度征收水资源费1667万元。加强入河排污口整治，督促开展了全州4个未办理设置审批手续的排污点，争取尽快审批。强化中央、省环保督察发现问题的整改，维西县全面规范了河道非法采砂，德钦县和香格里拉市完成了河道采砂规划编制，并对金沙江等环境敏感区域全面关停采砂活动。加强小水电站下泄生态流量管理，全州58个小水电站中36个已完成生态流量计量器和监控设施安装，其余22个正在督促落实，并不定期对下泄生态流量的情况进行检查，取得较好成效。重视饮用水水源地保护，在完成桑那水库饮用在水源地保护方案的基础上，争取项目实施了桑那小流域综合治理工程，德钦县城饮用水水源地水磨坊河综合治理项目已获省批准，计划在2019年建设。三是全面落实水土保持“三同时”制度，深入开展水土保持监督执法专项检查，完成征收水土保持设施补偿费151.77万元。年内治理水土流失面积199平方公里。</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5、</w:t>
      </w:r>
      <w:r>
        <w:rPr>
          <w:rFonts w:hint="eastAsia"/>
          <w:bCs/>
          <w:szCs w:val="30"/>
        </w:rPr>
        <w:t>抓实防灾减灾工作。按照“安全第一、常备不懈、以防为主、全力抢险”的方针，工作早部署、责任早落实、措施早到位，确保各项防汛工作落到实处，夺取了今年防汛抗灾工作胜利。上半年局部地区出现了旱情，利用“千促”工作全面开展了抗旱。入汛以来，我州各地强降雨频繁，雨季持续到10月中旬，全州29个乡镇6.7万人不同程度受灾，紧急转移9515人，房屋、公路、水利设施、农作物等受损，香格里拉市纳帕海受灾一直持续到现在。汛期刚过，有发生了“11.3”白格堰塞湖洪灾，灾害受灾情况极其严重、损失巨大，公路、农田、水利、电力、通信等基础设施严重受损，受灾9个乡镇38个村147个村民小组，受灾人口32062人，其中紧急转移20790人，无人员伤亡，估算损失39.32亿元。为全面做好“防大汛、抗大灾”，汛期来临之前组织专项工作督查组对河道侵占妨碍行洪、大中小水库大坝安全等进行隐患排查，强化水库安全度汛“三个责任人”“三项措施”落实，加强监测预警，强化山洪灾害防御，开展水库下游河道乱占乱建排查，消除行洪安全隐患，确保后汛期安全度汛。特别是“11.3”白格堰塞湖洪灾发生时，在州委州政府和水利上级主管部门的坚强领导下，水利系统广大干部职工牢固树立责任意识，忘我工作，充分发挥防汛抗旱指挥部的职责，统筹各成员单位力量，制定专项防汛抗灾应急预案，强化会商研判，靠前指挥，取得了决定性的胜利，得到了省水利厅和州委州政府的高度肯定。</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6、</w:t>
      </w:r>
      <w:r>
        <w:rPr>
          <w:rFonts w:hint="eastAsia"/>
          <w:bCs/>
          <w:szCs w:val="30"/>
        </w:rPr>
        <w:t>抓工程质量安全管理。针对水利工程建设点多面广、建设任务重的实际，为保证工程质量安全，规范水利工程施工管理行为，提高全州水利工程建设管理人员综合素质和业务水平。年内，邀请省级专家举办了“全州水利工程质量监督培训班”，共有70余人参训。全面清理了历年已完工未验收水利工程清单，督促各县市加大项目验收力度。年内组织验收了德钦县格龙水库、南木贡水库、阿东河河道治理工程、直溪河河道治理工程、德钦县2011-2013年重点县项目，目前各县（市）水务部门已按照工作实际，除由于审计原因无法确定验收时间节点的项目外，均已明确各项目验收时间。加强质量监督巡查、检查，及时办理质量监督备案手续，使各工程质量隐患消除在萌芽状态，避免发生质量事故。制定出台了《迪庆州水利工程稽察工作方案》，首次对在建的农村安全饮水工程、农田水利建设、河道治理、水库等10个项目开展稽察工作。继续加强水利安全生产工作，在与州安委会签订安全生产目标责任书的基础上，结合“横到边、纵到底”的安全生产责任制网络格式，局领导签订了“一岗双责”责任书，分管领导与分管科室签订了安全生产目标责任书。并提倡人人都是安全员的理念，推行凡是到基层、到项目均要检查落实安全生产的行动，促进水利行业安全生产平稳发展。</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7、</w:t>
      </w:r>
      <w:r>
        <w:rPr>
          <w:rFonts w:hint="eastAsia"/>
          <w:bCs/>
          <w:szCs w:val="30"/>
        </w:rPr>
        <w:t>抓水利发展改革。按照全面深化水利改革的各项要求，不断深化水利投融资改革，拓宽投融资渠道，引入社会资本，构建多元化投融资平台，加大水利建设投入，补齐水利基础设施短板。一是积极推进全州农田水利改革工作，按照“先建机制后建工程”的总体要求，积极引进社会资本参与农田水利建设。二是积极推进农业水价综合改革，2018年完成改革试点面积3.79万亩。三是坚持推进深化水利“放管服”改革工作。推进水行政审批制度改革，深入推进简政放权、放管结合、优化服务工作，进一步精简行政审批及其中介服务事项，选派专职人员进驻政务服务中心，负责行政审批工作，审批事项全程在网上公开办理。同时加强事中事后监管，按照“谁审批谁监管、谁主管谁监管”的原则，对所有行政许可事项，在审批时均要明确事中事后监管措施和要求，理清审批和监管权责边界，强化落实监管责任。四是推进水利工程建设管理模式改革。积极探索政企合作，与云南省建设投资控股集团有限公司签订了重点水利项目合作协议，我州第一个政企合作项目桑那水库补水工程己完成建设，积极支持德钦县完成了忠太水库PPP招标工作。</w:t>
      </w:r>
    </w:p>
    <w:p>
      <w:pPr>
        <w:pStyle w:val="2"/>
        <w:adjustRightInd w:val="0"/>
        <w:snapToGrid w:val="0"/>
        <w:spacing w:line="600" w:lineRule="exact"/>
        <w:ind w:firstLine="630" w:firstLineChars="210"/>
        <w:rPr>
          <w:rFonts w:hint="eastAsia"/>
          <w:bCs/>
          <w:szCs w:val="30"/>
        </w:rPr>
      </w:pPr>
      <w:r>
        <w:rPr>
          <w:rFonts w:hint="eastAsia"/>
          <w:bCs/>
          <w:szCs w:val="30"/>
          <w:lang w:val="en-US" w:eastAsia="zh-CN"/>
        </w:rPr>
        <w:t>8、</w:t>
      </w:r>
      <w:r>
        <w:rPr>
          <w:rFonts w:hint="eastAsia"/>
          <w:bCs/>
          <w:szCs w:val="30"/>
        </w:rPr>
        <w:t>抓干部队伍建设。要适应新形势、新常态、新任务，人是关键因素。为全面提升水利干部职工整体素质，不断增强服务意识、责任意识和廉政意识，自觉践行“三严三实”要求，进一步加强学习制度，组织干部职工认真学习党的各项方针政策，行业规范管理制度，增强学习能力，注重学思并重与知行统一，坚持学用结合与持之以恒，加快知识更新，拓宽眼界视野，不断提高履职尽责的素质和能力。年内，组织干部职工到州委党风廉政教育基地参观学习2次，邀请法律顾问法律知识讲座2次，安排全局职工参加上级部门培训27次，其中：参加水利部培训8次，水利厅11次，州级8次。我局组织全州水利行业培训2次165人。教育职工始终把抓落实放在更加重要的位置，弘扬团结协作、务实担当、奋发有为的实干精神，强化责任担当。时刻牢记当前我们面临着与全国全省同步实现脱贫奔康的任务，我们深知与内地的差距，压力和责任不言而喻。水利部门身处第一线，毫无退路，只有知难而进。牢固树立“水”的事就是我们的事，“水”的问题就是我们的问题，敢于担当，不推责任。发扬钉钉子精神，一步一个脚印向既定的目标前进，努力营造重实干、敢作为、能担当的干事创业良好环境。</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二、部门基本情况</w:t>
      </w:r>
    </w:p>
    <w:p>
      <w:pPr>
        <w:spacing w:line="600" w:lineRule="exact"/>
        <w:ind w:firstLine="600" w:firstLineChars="200"/>
        <w:rPr>
          <w:rFonts w:hint="eastAsia" w:ascii="楷体" w:hAnsi="楷体" w:eastAsia="楷体"/>
          <w:sz w:val="30"/>
          <w:szCs w:val="30"/>
        </w:rPr>
      </w:pPr>
      <w:r>
        <w:rPr>
          <w:rFonts w:hint="eastAsia" w:ascii="楷体" w:hAnsi="楷体" w:eastAsia="楷体"/>
          <w:sz w:val="30"/>
          <w:szCs w:val="30"/>
        </w:rPr>
        <w:t>（一）部门决算单位构成</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纳入</w:t>
      </w: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年度部门决算编报的单位共</w:t>
      </w:r>
      <w:r>
        <w:rPr>
          <w:rFonts w:hint="eastAsia" w:ascii="仿宋_GB2312" w:eastAsia="仿宋_GB2312"/>
          <w:sz w:val="30"/>
          <w:szCs w:val="30"/>
          <w:lang w:val="en-US" w:eastAsia="zh-CN"/>
        </w:rPr>
        <w:t>1</w:t>
      </w:r>
      <w:r>
        <w:rPr>
          <w:rFonts w:hint="eastAsia" w:ascii="仿宋_GB2312" w:eastAsia="仿宋_GB2312"/>
          <w:sz w:val="30"/>
          <w:szCs w:val="30"/>
        </w:rPr>
        <w:t>个（下设</w:t>
      </w:r>
      <w:r>
        <w:rPr>
          <w:rFonts w:hint="eastAsia" w:ascii="仿宋_GB2312" w:eastAsia="仿宋_GB2312"/>
          <w:sz w:val="30"/>
          <w:szCs w:val="30"/>
          <w:lang w:val="en-US" w:eastAsia="zh-CN"/>
        </w:rPr>
        <w:t>4</w:t>
      </w:r>
      <w:r>
        <w:rPr>
          <w:rFonts w:hint="eastAsia" w:ascii="仿宋_GB2312" w:eastAsia="仿宋_GB2312"/>
          <w:sz w:val="30"/>
          <w:szCs w:val="30"/>
        </w:rPr>
        <w:t>个事业站所，单位会计及财务人员均不独立）。其中：行政单位</w:t>
      </w:r>
      <w:r>
        <w:rPr>
          <w:rFonts w:hint="eastAsia" w:ascii="仿宋_GB2312" w:eastAsia="仿宋_GB2312"/>
          <w:sz w:val="30"/>
          <w:szCs w:val="30"/>
          <w:lang w:val="en-US" w:eastAsia="zh-CN"/>
        </w:rPr>
        <w:t>1</w:t>
      </w:r>
      <w:r>
        <w:rPr>
          <w:rFonts w:hint="eastAsia" w:ascii="仿宋_GB2312" w:eastAsia="仿宋_GB2312"/>
          <w:sz w:val="30"/>
          <w:szCs w:val="30"/>
        </w:rPr>
        <w:t>个，参照公务员法管理的事业单位</w:t>
      </w:r>
      <w:r>
        <w:rPr>
          <w:rFonts w:hint="eastAsia" w:ascii="仿宋_GB2312" w:eastAsia="仿宋_GB2312"/>
          <w:bCs/>
          <w:sz w:val="30"/>
          <w:szCs w:val="30"/>
          <w:lang w:val="en-US" w:eastAsia="zh-CN"/>
        </w:rPr>
        <w:t>0</w:t>
      </w:r>
      <w:r>
        <w:rPr>
          <w:rFonts w:hint="eastAsia" w:ascii="仿宋_GB2312" w:eastAsia="仿宋_GB2312"/>
          <w:sz w:val="30"/>
          <w:szCs w:val="30"/>
        </w:rPr>
        <w:t>个，其他事业单位</w:t>
      </w:r>
      <w:r>
        <w:rPr>
          <w:rFonts w:hint="eastAsia" w:ascii="仿宋_GB2312" w:eastAsia="仿宋_GB2312"/>
          <w:sz w:val="30"/>
          <w:szCs w:val="30"/>
          <w:lang w:val="en-US" w:eastAsia="zh-CN"/>
        </w:rPr>
        <w:t>0</w:t>
      </w:r>
      <w:r>
        <w:rPr>
          <w:rFonts w:hint="eastAsia" w:ascii="仿宋_GB2312" w:eastAsia="仿宋_GB2312"/>
          <w:sz w:val="30"/>
          <w:szCs w:val="30"/>
        </w:rPr>
        <w:t>个。分别是：</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1.迪庆州水务局机关</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2.迪庆州水利工程建设管理站</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3.迪庆州水利水电工程质量监督站</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4.迪庆州防汛抗旱指挥调度中心</w:t>
      </w:r>
    </w:p>
    <w:p>
      <w:pPr>
        <w:spacing w:line="600" w:lineRule="exact"/>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5</w:t>
      </w:r>
      <w:r>
        <w:rPr>
          <w:rFonts w:hint="eastAsia" w:ascii="仿宋_GB2312" w:eastAsia="仿宋_GB2312"/>
          <w:sz w:val="30"/>
          <w:szCs w:val="30"/>
        </w:rPr>
        <w:t>.</w:t>
      </w:r>
      <w:r>
        <w:rPr>
          <w:rFonts w:hint="eastAsia" w:ascii="仿宋_GB2312" w:eastAsia="仿宋_GB2312"/>
          <w:sz w:val="30"/>
          <w:szCs w:val="30"/>
          <w:lang w:eastAsia="zh-CN"/>
        </w:rPr>
        <w:t>迪庆州水政监察支队</w:t>
      </w:r>
    </w:p>
    <w:p>
      <w:pPr>
        <w:ind w:firstLine="600" w:firstLineChars="200"/>
        <w:rPr>
          <w:rFonts w:hint="eastAsia" w:ascii="楷体" w:hAnsi="楷体" w:eastAsia="楷体"/>
          <w:sz w:val="30"/>
          <w:szCs w:val="30"/>
        </w:rPr>
      </w:pPr>
      <w:r>
        <w:rPr>
          <w:rFonts w:hint="eastAsia" w:ascii="楷体" w:hAnsi="楷体" w:eastAsia="楷体"/>
          <w:sz w:val="30"/>
          <w:szCs w:val="30"/>
        </w:rPr>
        <w:t xml:space="preserve">（二）部门人员和车辆的编制及实有情况 </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迪庆州水务局201</w:t>
      </w:r>
      <w:r>
        <w:rPr>
          <w:rFonts w:hint="eastAsia" w:ascii="仿宋_GB2312" w:eastAsia="仿宋_GB2312"/>
          <w:sz w:val="30"/>
          <w:szCs w:val="30"/>
          <w:lang w:val="en-US" w:eastAsia="zh-CN"/>
        </w:rPr>
        <w:t>8</w:t>
      </w:r>
      <w:r>
        <w:rPr>
          <w:rFonts w:hint="eastAsia" w:ascii="仿宋_GB2312" w:eastAsia="仿宋_GB2312"/>
          <w:sz w:val="30"/>
          <w:szCs w:val="30"/>
        </w:rPr>
        <w:t>年末实有人员编3</w:t>
      </w:r>
      <w:r>
        <w:rPr>
          <w:rFonts w:hint="eastAsia" w:ascii="仿宋_GB2312" w:eastAsia="仿宋_GB2312"/>
          <w:sz w:val="30"/>
          <w:szCs w:val="30"/>
          <w:lang w:val="en-US" w:eastAsia="zh-CN"/>
        </w:rPr>
        <w:t>6</w:t>
      </w:r>
      <w:r>
        <w:rPr>
          <w:rFonts w:hint="eastAsia" w:ascii="仿宋_GB2312" w:eastAsia="仿宋_GB2312"/>
          <w:sz w:val="30"/>
          <w:szCs w:val="30"/>
        </w:rPr>
        <w:t>人。其中：行政编制11人（含行政工勤编制1人</w:t>
      </w:r>
      <w:r>
        <w:rPr>
          <w:rFonts w:hint="eastAsia" w:ascii="仿宋_GB2312" w:eastAsia="仿宋_GB2312"/>
          <w:sz w:val="30"/>
          <w:szCs w:val="30"/>
          <w:lang w:eastAsia="zh-CN"/>
        </w:rPr>
        <w:t>，地方自定编2人</w:t>
      </w:r>
      <w:r>
        <w:rPr>
          <w:rFonts w:hint="eastAsia" w:ascii="仿宋_GB2312" w:eastAsia="仿宋_GB2312"/>
          <w:sz w:val="30"/>
          <w:szCs w:val="30"/>
        </w:rPr>
        <w:t>），事业编制2</w:t>
      </w:r>
      <w:r>
        <w:rPr>
          <w:rFonts w:hint="eastAsia" w:ascii="仿宋_GB2312" w:eastAsia="仿宋_GB2312"/>
          <w:sz w:val="30"/>
          <w:szCs w:val="30"/>
          <w:lang w:val="en-US" w:eastAsia="zh-CN"/>
        </w:rPr>
        <w:t>5</w:t>
      </w:r>
      <w:r>
        <w:rPr>
          <w:rFonts w:hint="eastAsia" w:ascii="仿宋_GB2312" w:eastAsia="仿宋_GB2312"/>
          <w:sz w:val="30"/>
          <w:szCs w:val="30"/>
        </w:rPr>
        <w:t>人；在职在编实有行政人员</w:t>
      </w:r>
      <w:r>
        <w:rPr>
          <w:rFonts w:hint="eastAsia" w:ascii="仿宋_GB2312" w:eastAsia="仿宋_GB2312"/>
          <w:sz w:val="30"/>
          <w:szCs w:val="30"/>
          <w:lang w:val="en-US" w:eastAsia="zh-CN"/>
        </w:rPr>
        <w:t>9</w:t>
      </w:r>
      <w:r>
        <w:rPr>
          <w:rFonts w:hint="eastAsia" w:ascii="仿宋_GB2312" w:eastAsia="仿宋_GB2312"/>
          <w:sz w:val="30"/>
          <w:szCs w:val="30"/>
        </w:rPr>
        <w:t>人（含行政工勤人员1人），行政退休转在职人员</w:t>
      </w:r>
      <w:r>
        <w:rPr>
          <w:rFonts w:hint="eastAsia" w:ascii="仿宋_GB2312" w:eastAsia="仿宋_GB2312"/>
          <w:sz w:val="30"/>
          <w:szCs w:val="30"/>
          <w:lang w:val="en-US" w:eastAsia="zh-CN"/>
        </w:rPr>
        <w:t>6</w:t>
      </w:r>
      <w:r>
        <w:rPr>
          <w:rFonts w:hint="eastAsia" w:ascii="仿宋_GB2312" w:eastAsia="仿宋_GB2312"/>
          <w:sz w:val="30"/>
          <w:szCs w:val="30"/>
        </w:rPr>
        <w:t>人。在职在编事业人员</w:t>
      </w:r>
      <w:r>
        <w:rPr>
          <w:rFonts w:hint="eastAsia" w:ascii="仿宋_GB2312" w:eastAsia="仿宋_GB2312"/>
          <w:sz w:val="30"/>
          <w:szCs w:val="30"/>
          <w:lang w:val="en-US" w:eastAsia="zh-CN"/>
        </w:rPr>
        <w:t>22</w:t>
      </w:r>
      <w:r>
        <w:rPr>
          <w:rFonts w:hint="eastAsia" w:ascii="仿宋_GB2312" w:eastAsia="仿宋_GB2312"/>
          <w:sz w:val="30"/>
          <w:szCs w:val="30"/>
        </w:rPr>
        <w:t>人，事业退休转在职人员</w:t>
      </w:r>
      <w:r>
        <w:rPr>
          <w:rFonts w:hint="eastAsia" w:ascii="仿宋_GB2312" w:eastAsia="仿宋_GB2312"/>
          <w:sz w:val="30"/>
          <w:szCs w:val="30"/>
          <w:lang w:val="en-US" w:eastAsia="zh-CN"/>
        </w:rPr>
        <w:t>8</w:t>
      </w:r>
      <w:r>
        <w:rPr>
          <w:rFonts w:hint="eastAsia" w:ascii="仿宋_GB2312" w:eastAsia="仿宋_GB2312"/>
          <w:sz w:val="30"/>
          <w:szCs w:val="30"/>
        </w:rPr>
        <w:t>人。</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离退休人员</w:t>
      </w:r>
      <w:r>
        <w:rPr>
          <w:rFonts w:hint="eastAsia" w:ascii="仿宋_GB2312" w:eastAsia="仿宋_GB2312"/>
          <w:sz w:val="30"/>
          <w:szCs w:val="30"/>
          <w:lang w:val="en-US" w:eastAsia="zh-CN"/>
        </w:rPr>
        <w:t>21</w:t>
      </w:r>
      <w:r>
        <w:rPr>
          <w:rFonts w:hint="eastAsia" w:ascii="仿宋_GB2312" w:eastAsia="仿宋_GB2312"/>
          <w:sz w:val="30"/>
          <w:szCs w:val="30"/>
        </w:rPr>
        <w:t>人。其中：离休0人，退休</w:t>
      </w:r>
      <w:r>
        <w:rPr>
          <w:rFonts w:hint="eastAsia" w:ascii="仿宋_GB2312" w:eastAsia="仿宋_GB2312"/>
          <w:sz w:val="30"/>
          <w:szCs w:val="30"/>
          <w:lang w:val="en-US" w:eastAsia="zh-CN"/>
        </w:rPr>
        <w:t>21</w:t>
      </w:r>
      <w:r>
        <w:rPr>
          <w:rFonts w:hint="eastAsia" w:ascii="仿宋_GB2312" w:eastAsia="仿宋_GB2312"/>
          <w:sz w:val="30"/>
          <w:szCs w:val="30"/>
        </w:rPr>
        <w:t>人。</w:t>
      </w:r>
    </w:p>
    <w:p>
      <w:pPr>
        <w:spacing w:line="600" w:lineRule="exact"/>
        <w:ind w:firstLine="600" w:firstLineChars="200"/>
        <w:rPr>
          <w:rFonts w:hint="eastAsia" w:ascii="黑体" w:hAnsi="黑体" w:eastAsia="黑体"/>
          <w:sz w:val="32"/>
          <w:szCs w:val="32"/>
        </w:rPr>
      </w:pPr>
      <w:r>
        <w:rPr>
          <w:rFonts w:hint="eastAsia" w:ascii="仿宋_GB2312" w:eastAsia="仿宋_GB2312"/>
          <w:sz w:val="30"/>
          <w:szCs w:val="30"/>
        </w:rPr>
        <w:t>实有车辆编制3辆，实有车辆</w:t>
      </w:r>
      <w:r>
        <w:rPr>
          <w:rFonts w:hint="eastAsia" w:ascii="仿宋_GB2312" w:eastAsia="仿宋_GB2312"/>
          <w:sz w:val="30"/>
          <w:szCs w:val="30"/>
          <w:lang w:val="en-US" w:eastAsia="zh-CN"/>
        </w:rPr>
        <w:t>4</w:t>
      </w:r>
      <w:r>
        <w:rPr>
          <w:rFonts w:hint="eastAsia" w:ascii="仿宋_GB2312" w:eastAsia="仿宋_GB2312"/>
          <w:sz w:val="30"/>
          <w:szCs w:val="30"/>
        </w:rPr>
        <w:t>辆。</w:t>
      </w:r>
    </w:p>
    <w:p>
      <w:pPr>
        <w:jc w:val="cente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5534025" cy="2867025"/>
            <wp:effectExtent l="0" t="0" r="9525" b="0"/>
            <wp:docPr id="1" name="图片 15" descr="人员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人员情况表"/>
                    <pic:cNvPicPr>
                      <a:picLocks noChangeAspect="1"/>
                    </pic:cNvPicPr>
                  </pic:nvPicPr>
                  <pic:blipFill>
                    <a:blip r:embed="rId7"/>
                    <a:stretch>
                      <a:fillRect/>
                    </a:stretch>
                  </pic:blipFill>
                  <pic:spPr>
                    <a:xfrm>
                      <a:off x="0" y="0"/>
                      <a:ext cx="5534025" cy="2867025"/>
                    </a:xfrm>
                    <a:prstGeom prst="rect">
                      <a:avLst/>
                    </a:prstGeom>
                    <a:noFill/>
                    <a:ln>
                      <a:noFill/>
                    </a:ln>
                  </pic:spPr>
                </pic:pic>
              </a:graphicData>
            </a:graphic>
          </wp:inline>
        </w:drawing>
      </w:r>
    </w:p>
    <w:p>
      <w:pPr>
        <w:jc w:val="center"/>
        <w:rPr>
          <w:rFonts w:hint="default" w:ascii="仿宋_GB2312" w:hAnsi="宋体" w:eastAsia="仿宋_GB2312" w:cs="Arial"/>
          <w:kern w:val="0"/>
          <w:sz w:val="24"/>
          <w:szCs w:val="24"/>
          <w:lang w:val="en-US" w:eastAsia="zh-CN"/>
        </w:rPr>
      </w:pPr>
      <w:r>
        <w:rPr>
          <w:rFonts w:hint="eastAsia" w:ascii="仿宋_GB2312" w:hAnsi="宋体" w:eastAsia="仿宋_GB2312" w:cs="Arial"/>
          <w:kern w:val="0"/>
          <w:sz w:val="24"/>
          <w:szCs w:val="24"/>
          <w:lang w:val="en-US" w:eastAsia="zh-CN"/>
        </w:rPr>
        <w:t>2017-2018年人员情况对比表</w:t>
      </w: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2018</w:t>
      </w:r>
      <w:r>
        <w:rPr>
          <w:rFonts w:hint="eastAsia" w:ascii="黑体" w:hAnsi="黑体" w:eastAsia="黑体"/>
          <w:sz w:val="32"/>
          <w:szCs w:val="32"/>
        </w:rPr>
        <w:t>年度部门决算表</w:t>
      </w:r>
    </w:p>
    <w:p>
      <w:pPr>
        <w:spacing w:line="600" w:lineRule="exact"/>
        <w:ind w:firstLine="600" w:firstLineChars="200"/>
        <w:jc w:val="center"/>
        <w:rPr>
          <w:rFonts w:hint="eastAsia" w:ascii="仿宋_GB2312" w:eastAsia="仿宋_GB2312"/>
          <w:sz w:val="30"/>
          <w:szCs w:val="30"/>
        </w:rPr>
      </w:pPr>
      <w:r>
        <w:rPr>
          <w:rFonts w:hint="eastAsia" w:ascii="仿宋_GB2312" w:eastAsia="仿宋_GB2312"/>
          <w:sz w:val="30"/>
          <w:szCs w:val="30"/>
        </w:rPr>
        <w:t>（详见附件）</w:t>
      </w:r>
    </w:p>
    <w:p>
      <w:pPr>
        <w:spacing w:line="600" w:lineRule="exact"/>
        <w:ind w:firstLine="600" w:firstLineChars="200"/>
        <w:jc w:val="center"/>
        <w:rPr>
          <w:rFonts w:hint="eastAsia" w:ascii="仿宋_GB2312" w:eastAsia="仿宋_GB2312"/>
          <w:sz w:val="30"/>
          <w:szCs w:val="30"/>
        </w:rPr>
      </w:pPr>
    </w:p>
    <w:p>
      <w:pPr>
        <w:jc w:val="center"/>
        <w:rPr>
          <w:rFonts w:hint="eastAsia" w:ascii="黑体" w:hAnsi="黑体" w:eastAsia="黑体"/>
          <w:sz w:val="32"/>
          <w:szCs w:val="32"/>
        </w:rPr>
      </w:pPr>
      <w:r>
        <w:rPr>
          <w:rFonts w:hint="eastAsia" w:ascii="黑体" w:hAnsi="黑体" w:eastAsia="黑体"/>
          <w:sz w:val="32"/>
          <w:szCs w:val="32"/>
        </w:rPr>
        <w:t>第三部</w:t>
      </w:r>
      <w:r>
        <w:rPr>
          <w:rFonts w:hint="eastAsia" w:ascii="黑体" w:hAnsi="黑体" w:eastAsia="黑体"/>
          <w:sz w:val="32"/>
          <w:szCs w:val="32"/>
          <w:lang w:eastAsia="zh-CN"/>
        </w:rPr>
        <w:t>分</w:t>
      </w:r>
      <w:r>
        <w:rPr>
          <w:rFonts w:hint="eastAsia" w:ascii="黑体" w:hAnsi="黑体" w:eastAsia="黑体"/>
          <w:sz w:val="32"/>
          <w:szCs w:val="32"/>
        </w:rPr>
        <w:t xml:space="preserve">  </w:t>
      </w:r>
      <w:r>
        <w:rPr>
          <w:rFonts w:hint="eastAsia" w:ascii="黑体" w:hAnsi="黑体" w:eastAsia="黑体"/>
          <w:sz w:val="32"/>
          <w:szCs w:val="32"/>
          <w:lang w:val="en-US" w:eastAsia="zh-CN"/>
        </w:rPr>
        <w:t>2018</w:t>
      </w:r>
      <w:r>
        <w:rPr>
          <w:rFonts w:hint="eastAsia" w:ascii="黑体" w:hAnsi="黑体" w:eastAsia="黑体"/>
          <w:sz w:val="32"/>
          <w:szCs w:val="32"/>
        </w:rPr>
        <w:t>年度部门决算情况说明</w:t>
      </w:r>
    </w:p>
    <w:p>
      <w:pPr>
        <w:ind w:firstLine="600" w:firstLineChars="200"/>
        <w:jc w:val="left"/>
        <w:rPr>
          <w:rFonts w:hint="eastAsia" w:ascii="黑体" w:hAnsi="黑体" w:eastAsia="黑体"/>
          <w:sz w:val="30"/>
          <w:szCs w:val="30"/>
        </w:rPr>
      </w:pPr>
      <w:r>
        <w:rPr>
          <w:rFonts w:hint="eastAsia" w:ascii="黑体" w:hAnsi="黑体" w:eastAsia="黑体"/>
          <w:sz w:val="30"/>
          <w:szCs w:val="30"/>
        </w:rPr>
        <w:t>一、收入决算情况说明</w:t>
      </w:r>
    </w:p>
    <w:p>
      <w:pPr>
        <w:widowControl/>
        <w:snapToGrid w:val="0"/>
        <w:spacing w:before="100" w:after="100" w:line="600" w:lineRule="exact"/>
        <w:ind w:firstLine="538"/>
        <w:jc w:val="left"/>
        <w:rPr>
          <w:rFonts w:hint="default" w:ascii="仿宋_GB2312" w:eastAsia="仿宋_GB2312"/>
          <w:sz w:val="30"/>
          <w:szCs w:val="30"/>
          <w:lang w:val="en-US"/>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年度收入合计</w:t>
      </w:r>
      <w:r>
        <w:rPr>
          <w:rFonts w:hint="eastAsia" w:ascii="仿宋_GB2312" w:eastAsia="仿宋_GB2312"/>
          <w:sz w:val="30"/>
          <w:szCs w:val="30"/>
          <w:lang w:val="en-US" w:eastAsia="zh-CN"/>
        </w:rPr>
        <w:t>1683.85</w:t>
      </w:r>
      <w:r>
        <w:rPr>
          <w:rFonts w:hint="eastAsia" w:ascii="仿宋_GB2312" w:eastAsia="仿宋_GB2312"/>
          <w:sz w:val="30"/>
          <w:szCs w:val="30"/>
        </w:rPr>
        <w:t>万元。其中：财政拨款收入</w:t>
      </w:r>
      <w:r>
        <w:rPr>
          <w:rFonts w:hint="eastAsia" w:ascii="仿宋_GB2312" w:eastAsia="仿宋_GB2312"/>
          <w:sz w:val="30"/>
          <w:szCs w:val="30"/>
          <w:lang w:val="en-US" w:eastAsia="zh-CN"/>
        </w:rPr>
        <w:t>1675.85</w:t>
      </w:r>
      <w:r>
        <w:rPr>
          <w:rFonts w:hint="eastAsia" w:ascii="仿宋_GB2312" w:eastAsia="仿宋_GB2312"/>
          <w:sz w:val="30"/>
          <w:szCs w:val="30"/>
        </w:rPr>
        <w:t>万元，占总收入的</w:t>
      </w:r>
      <w:r>
        <w:rPr>
          <w:rFonts w:hint="eastAsia" w:ascii="仿宋_GB2312" w:eastAsia="仿宋_GB2312"/>
          <w:sz w:val="30"/>
          <w:szCs w:val="30"/>
          <w:lang w:val="en-US" w:eastAsia="zh-CN"/>
        </w:rPr>
        <w:t>99.52</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%；附属单位缴款收入</w:t>
      </w:r>
      <w:r>
        <w:rPr>
          <w:rFonts w:hint="eastAsia" w:ascii="仿宋_GB2312" w:eastAsia="仿宋_GB2312"/>
          <w:sz w:val="30"/>
          <w:szCs w:val="30"/>
          <w:lang w:val="en-US" w:eastAsia="zh-CN"/>
        </w:rPr>
        <w:t>0</w:t>
      </w:r>
      <w:r>
        <w:rPr>
          <w:rFonts w:hint="eastAsia" w:ascii="仿宋_GB2312" w:eastAsia="仿宋_GB2312"/>
          <w:sz w:val="30"/>
          <w:szCs w:val="30"/>
        </w:rPr>
        <w:t>万元，占总收入的</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8</w:t>
      </w:r>
      <w:r>
        <w:rPr>
          <w:rFonts w:hint="eastAsia" w:ascii="仿宋_GB2312" w:eastAsia="仿宋_GB2312"/>
          <w:sz w:val="30"/>
          <w:szCs w:val="30"/>
        </w:rPr>
        <w:t>万元，占总收入的</w:t>
      </w:r>
      <w:r>
        <w:rPr>
          <w:rFonts w:hint="eastAsia" w:ascii="仿宋_GB2312" w:eastAsia="仿宋_GB2312"/>
          <w:sz w:val="30"/>
          <w:szCs w:val="30"/>
          <w:lang w:val="en-US" w:eastAsia="zh-CN"/>
        </w:rPr>
        <w:t>0.48</w:t>
      </w:r>
      <w:r>
        <w:rPr>
          <w:rFonts w:hint="eastAsia" w:ascii="仿宋_GB2312" w:eastAsia="仿宋_GB2312"/>
          <w:sz w:val="30"/>
          <w:szCs w:val="30"/>
        </w:rPr>
        <w:t>%。与上年对比</w:t>
      </w:r>
      <w:r>
        <w:rPr>
          <w:rFonts w:hint="eastAsia" w:ascii="仿宋_GB2312" w:eastAsia="仿宋_GB2312"/>
          <w:sz w:val="30"/>
          <w:szCs w:val="30"/>
          <w:lang w:eastAsia="zh-CN"/>
        </w:rPr>
        <w:t>财政拨款收入增加</w:t>
      </w:r>
      <w:r>
        <w:rPr>
          <w:rFonts w:hint="eastAsia" w:ascii="仿宋_GB2312" w:eastAsia="仿宋_GB2312"/>
          <w:sz w:val="30"/>
          <w:szCs w:val="30"/>
          <w:lang w:val="en-US" w:eastAsia="zh-CN"/>
        </w:rPr>
        <w:t>415.45万元</w:t>
      </w:r>
      <w:r>
        <w:rPr>
          <w:rFonts w:hint="eastAsia" w:ascii="仿宋_GB2312" w:eastAsia="仿宋_GB2312"/>
          <w:sz w:val="30"/>
          <w:szCs w:val="30"/>
        </w:rPr>
        <w:t>，主要原因</w:t>
      </w:r>
      <w:r>
        <w:rPr>
          <w:rFonts w:hint="eastAsia" w:ascii="仿宋_GB2312" w:eastAsia="仿宋_GB2312"/>
          <w:sz w:val="30"/>
          <w:szCs w:val="30"/>
          <w:lang w:eastAsia="zh-CN"/>
        </w:rPr>
        <w:t>是工资增长，人员增多，</w:t>
      </w:r>
      <w:r>
        <w:rPr>
          <w:rFonts w:hint="eastAsia" w:ascii="仿宋_GB2312" w:eastAsia="仿宋_GB2312"/>
          <w:sz w:val="30"/>
          <w:szCs w:val="30"/>
          <w:lang w:val="en-US" w:eastAsia="zh-CN"/>
        </w:rPr>
        <w:t>2017年</w:t>
      </w:r>
      <w:r>
        <w:rPr>
          <w:rFonts w:hint="eastAsia" w:ascii="仿宋_GB2312" w:eastAsia="仿宋_GB2312"/>
          <w:sz w:val="30"/>
          <w:szCs w:val="30"/>
          <w:lang w:eastAsia="zh-CN"/>
        </w:rPr>
        <w:t>上年财政拨款收入占总收入</w:t>
      </w:r>
      <w:r>
        <w:rPr>
          <w:rFonts w:hint="eastAsia" w:ascii="仿宋_GB2312" w:eastAsia="仿宋_GB2312"/>
          <w:sz w:val="30"/>
          <w:szCs w:val="30"/>
          <w:lang w:val="en-US" w:eastAsia="zh-CN"/>
        </w:rPr>
        <w:t>96.99%，与上年相比，占比增加2.53%</w:t>
      </w:r>
      <w:r>
        <w:rPr>
          <w:rFonts w:hint="eastAsia" w:ascii="仿宋_GB2312" w:eastAsia="仿宋_GB2312"/>
          <w:sz w:val="30"/>
          <w:szCs w:val="30"/>
          <w:lang w:eastAsia="zh-CN"/>
        </w:rPr>
        <w:t>；其他收入减少</w:t>
      </w:r>
      <w:r>
        <w:rPr>
          <w:rFonts w:hint="eastAsia" w:ascii="仿宋_GB2312" w:eastAsia="仿宋_GB2312"/>
          <w:sz w:val="30"/>
          <w:szCs w:val="30"/>
          <w:lang w:val="en-US" w:eastAsia="zh-CN"/>
        </w:rPr>
        <w:t>31.1万元，主要是2017年有水堪所资质拍卖上缴的收入，2017年其他收入占总收入3.01%，与上年相比，占比减少2.53%。</w:t>
      </w:r>
    </w:p>
    <w:p>
      <w:pPr>
        <w:ind w:firstLine="600" w:firstLineChars="200"/>
        <w:jc w:val="left"/>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432425" cy="2810510"/>
            <wp:effectExtent l="0" t="0" r="0" b="0"/>
            <wp:docPr id="2" name="图片 16" descr="收入决算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收入决算情况表"/>
                    <pic:cNvPicPr>
                      <a:picLocks noChangeAspect="1"/>
                    </pic:cNvPicPr>
                  </pic:nvPicPr>
                  <pic:blipFill>
                    <a:blip r:embed="rId8"/>
                    <a:stretch>
                      <a:fillRect/>
                    </a:stretch>
                  </pic:blipFill>
                  <pic:spPr>
                    <a:xfrm>
                      <a:off x="0" y="0"/>
                      <a:ext cx="5432425" cy="2810510"/>
                    </a:xfrm>
                    <a:prstGeom prst="rect">
                      <a:avLst/>
                    </a:prstGeom>
                    <a:noFill/>
                    <a:ln>
                      <a:noFill/>
                    </a:ln>
                  </pic:spPr>
                </pic:pic>
              </a:graphicData>
            </a:graphic>
          </wp:inline>
        </w:drawing>
      </w:r>
    </w:p>
    <w:p>
      <w:pPr>
        <w:widowControl/>
        <w:snapToGrid w:val="0"/>
        <w:spacing w:before="100" w:after="100" w:line="600" w:lineRule="exact"/>
        <w:ind w:firstLine="3600" w:firstLineChars="1500"/>
        <w:jc w:val="left"/>
        <w:rPr>
          <w:rFonts w:hint="default" w:ascii="仿宋_GB2312" w:eastAsia="仿宋_GB2312"/>
          <w:sz w:val="24"/>
          <w:szCs w:val="24"/>
          <w:lang w:val="en-US" w:eastAsia="zh-CN"/>
        </w:rPr>
      </w:pPr>
      <w:r>
        <w:rPr>
          <w:rFonts w:hint="eastAsia" w:ascii="仿宋_GB2312" w:eastAsia="仿宋_GB2312"/>
          <w:sz w:val="24"/>
          <w:szCs w:val="24"/>
          <w:lang w:val="en-US" w:eastAsia="zh-CN"/>
        </w:rPr>
        <w:t>收入决算情况表</w:t>
      </w:r>
    </w:p>
    <w:p>
      <w:pPr>
        <w:ind w:firstLine="600" w:firstLineChars="200"/>
        <w:jc w:val="left"/>
        <w:rPr>
          <w:rFonts w:hint="eastAsia" w:ascii="黑体" w:hAnsi="黑体" w:eastAsia="黑体"/>
          <w:sz w:val="30"/>
          <w:szCs w:val="30"/>
          <w:lang w:eastAsia="zh-CN"/>
        </w:rPr>
      </w:pPr>
    </w:p>
    <w:p>
      <w:pPr>
        <w:ind w:firstLine="600" w:firstLineChars="200"/>
        <w:jc w:val="left"/>
        <w:rPr>
          <w:rFonts w:hint="eastAsia" w:ascii="黑体" w:hAnsi="黑体" w:eastAsia="黑体"/>
          <w:sz w:val="30"/>
          <w:szCs w:val="30"/>
        </w:rPr>
      </w:pPr>
      <w:r>
        <w:rPr>
          <w:rFonts w:hint="eastAsia" w:ascii="黑体" w:hAnsi="黑体" w:eastAsia="黑体"/>
          <w:sz w:val="30"/>
          <w:szCs w:val="30"/>
        </w:rPr>
        <w:t>二、支出决算情况说明</w:t>
      </w:r>
    </w:p>
    <w:p>
      <w:pPr>
        <w:spacing w:line="600" w:lineRule="exact"/>
        <w:ind w:firstLine="600" w:firstLineChars="200"/>
        <w:rPr>
          <w:rFonts w:hint="eastAsia" w:ascii="楷体" w:hAnsi="楷体" w:eastAsia="楷体"/>
          <w:sz w:val="30"/>
          <w:szCs w:val="30"/>
          <w:lang w:eastAsia="zh-CN"/>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年度支出合计</w:t>
      </w:r>
      <w:r>
        <w:rPr>
          <w:rFonts w:hint="eastAsia" w:ascii="仿宋_GB2312" w:eastAsia="仿宋_GB2312"/>
          <w:sz w:val="30"/>
          <w:szCs w:val="30"/>
          <w:lang w:val="en-US" w:eastAsia="zh-CN"/>
        </w:rPr>
        <w:t>1545.53</w:t>
      </w:r>
      <w:r>
        <w:rPr>
          <w:rFonts w:hint="eastAsia" w:ascii="仿宋_GB2312" w:eastAsia="仿宋_GB2312"/>
          <w:sz w:val="30"/>
          <w:szCs w:val="30"/>
        </w:rPr>
        <w:t>万元。其中：</w:t>
      </w:r>
      <w:r>
        <w:rPr>
          <w:rFonts w:hint="eastAsia" w:ascii="仿宋_GB2312" w:hAnsi="宋体" w:eastAsia="仿宋_GB2312" w:cs="Arial"/>
          <w:kern w:val="0"/>
          <w:sz w:val="30"/>
          <w:szCs w:val="30"/>
        </w:rPr>
        <w:t>基本支出</w:t>
      </w:r>
      <w:r>
        <w:rPr>
          <w:rFonts w:hint="eastAsia" w:ascii="仿宋_GB2312" w:eastAsia="仿宋_GB2312"/>
          <w:sz w:val="30"/>
          <w:szCs w:val="30"/>
          <w:lang w:val="en-US" w:eastAsia="zh-CN"/>
        </w:rPr>
        <w:t>1285.59</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83.18</w:t>
      </w:r>
      <w:r>
        <w:rPr>
          <w:rFonts w:hint="eastAsia" w:ascii="仿宋_GB2312" w:hAnsi="宋体" w:eastAsia="仿宋_GB2312" w:cs="Arial"/>
          <w:kern w:val="0"/>
          <w:sz w:val="30"/>
          <w:szCs w:val="30"/>
        </w:rPr>
        <w:t>％；项目支出</w:t>
      </w:r>
      <w:r>
        <w:rPr>
          <w:rFonts w:hint="eastAsia" w:ascii="仿宋_GB2312" w:eastAsia="仿宋_GB2312"/>
          <w:sz w:val="30"/>
          <w:szCs w:val="30"/>
          <w:lang w:val="en-US" w:eastAsia="zh-CN"/>
        </w:rPr>
        <w:t>259.94</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16.82</w:t>
      </w:r>
      <w:r>
        <w:rPr>
          <w:rFonts w:hint="eastAsia" w:ascii="仿宋_GB2312" w:hAnsi="宋体" w:eastAsia="仿宋_GB2312" w:cs="Arial"/>
          <w:kern w:val="0"/>
          <w:sz w:val="30"/>
          <w:szCs w:val="30"/>
        </w:rPr>
        <w:t>％；上缴上级支出、经营支出、对附属单位补助支出共</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万元，占总支出的</w:t>
      </w:r>
      <w:r>
        <w:rPr>
          <w:rFonts w:hint="eastAsia" w:ascii="仿宋_GB2312" w:eastAsia="仿宋_GB2312"/>
          <w:sz w:val="30"/>
          <w:szCs w:val="30"/>
          <w:lang w:val="en-US" w:eastAsia="zh-CN"/>
        </w:rPr>
        <w:t>0</w:t>
      </w:r>
      <w:r>
        <w:rPr>
          <w:rFonts w:hint="eastAsia" w:ascii="仿宋_GB2312" w:hAnsi="宋体" w:eastAsia="仿宋_GB2312" w:cs="Arial"/>
          <w:kern w:val="0"/>
          <w:sz w:val="30"/>
          <w:szCs w:val="30"/>
        </w:rPr>
        <w:t>％。</w:t>
      </w:r>
      <w:r>
        <w:rPr>
          <w:rFonts w:hint="eastAsia" w:ascii="仿宋_GB2312" w:eastAsia="仿宋_GB2312"/>
          <w:sz w:val="30"/>
          <w:szCs w:val="30"/>
        </w:rPr>
        <w:t>与上年对比</w:t>
      </w:r>
      <w:r>
        <w:rPr>
          <w:rFonts w:hint="eastAsia" w:ascii="仿宋_GB2312" w:eastAsia="仿宋_GB2312"/>
          <w:sz w:val="30"/>
          <w:szCs w:val="30"/>
          <w:lang w:eastAsia="zh-CN"/>
        </w:rPr>
        <w:t>总支出增加</w:t>
      </w:r>
      <w:r>
        <w:rPr>
          <w:rFonts w:hint="eastAsia" w:ascii="仿宋_GB2312" w:eastAsia="仿宋_GB2312"/>
          <w:sz w:val="30"/>
          <w:szCs w:val="30"/>
          <w:lang w:val="en-US" w:eastAsia="zh-CN"/>
        </w:rPr>
        <w:t>30.76万元，</w:t>
      </w:r>
      <w:r>
        <w:rPr>
          <w:rFonts w:hint="eastAsia" w:ascii="仿宋_GB2312" w:eastAsia="仿宋_GB2312"/>
          <w:sz w:val="30"/>
          <w:szCs w:val="30"/>
        </w:rPr>
        <w:t>主要原因</w:t>
      </w:r>
      <w:r>
        <w:rPr>
          <w:rFonts w:hint="eastAsia" w:ascii="仿宋_GB2312" w:eastAsia="仿宋_GB2312"/>
          <w:sz w:val="30"/>
          <w:szCs w:val="30"/>
          <w:lang w:eastAsia="zh-CN"/>
        </w:rPr>
        <w:t>是工资增长，人员增多</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p>
    <w:p>
      <w:pPr>
        <w:widowControl/>
        <w:snapToGrid w:val="0"/>
        <w:spacing w:before="100" w:after="100" w:line="240" w:lineRule="auto"/>
        <w:ind w:firstLine="600" w:firstLineChars="200"/>
        <w:jc w:val="left"/>
        <w:rPr>
          <w:rFonts w:hint="eastAsia" w:ascii="楷体" w:hAnsi="楷体" w:eastAsia="楷体"/>
          <w:sz w:val="30"/>
          <w:szCs w:val="30"/>
          <w:lang w:eastAsia="zh-CN"/>
        </w:rPr>
      </w:pPr>
      <w:r>
        <w:rPr>
          <w:rFonts w:hint="eastAsia" w:ascii="楷体" w:hAnsi="楷体" w:eastAsia="楷体"/>
          <w:sz w:val="30"/>
          <w:szCs w:val="30"/>
          <w:lang w:eastAsia="zh-CN"/>
        </w:rPr>
        <w:drawing>
          <wp:inline distT="0" distB="0" distL="114300" distR="114300">
            <wp:extent cx="3419475" cy="1838325"/>
            <wp:effectExtent l="0" t="0" r="9525" b="9525"/>
            <wp:docPr id="3" name="图片 25" descr="支出决算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 descr="支出决算情况"/>
                    <pic:cNvPicPr>
                      <a:picLocks noChangeAspect="1"/>
                    </pic:cNvPicPr>
                  </pic:nvPicPr>
                  <pic:blipFill>
                    <a:blip r:embed="rId9"/>
                    <a:stretch>
                      <a:fillRect/>
                    </a:stretch>
                  </pic:blipFill>
                  <pic:spPr>
                    <a:xfrm>
                      <a:off x="0" y="0"/>
                      <a:ext cx="3419475" cy="1838325"/>
                    </a:xfrm>
                    <a:prstGeom prst="rect">
                      <a:avLst/>
                    </a:prstGeom>
                    <a:noFill/>
                    <a:ln>
                      <a:noFill/>
                    </a:ln>
                  </pic:spPr>
                </pic:pic>
              </a:graphicData>
            </a:graphic>
          </wp:inline>
        </w:drawing>
      </w:r>
    </w:p>
    <w:p>
      <w:pPr>
        <w:widowControl/>
        <w:snapToGrid w:val="0"/>
        <w:spacing w:before="100" w:after="100" w:line="240" w:lineRule="auto"/>
        <w:ind w:firstLine="2400" w:firstLineChars="1000"/>
        <w:jc w:val="left"/>
        <w:rPr>
          <w:rFonts w:hint="eastAsia" w:ascii="楷体" w:hAnsi="楷体" w:eastAsia="楷体"/>
          <w:sz w:val="30"/>
          <w:szCs w:val="30"/>
          <w:lang w:eastAsia="zh-CN"/>
        </w:rPr>
      </w:pPr>
      <w:r>
        <w:rPr>
          <w:rFonts w:hint="eastAsia" w:ascii="仿宋_GB2312" w:eastAsia="仿宋_GB2312"/>
          <w:sz w:val="24"/>
          <w:szCs w:val="24"/>
          <w:lang w:eastAsia="zh-CN"/>
        </w:rPr>
        <w:t>支出决算情况表</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（一）基本支出情况</w:t>
      </w:r>
    </w:p>
    <w:p>
      <w:pPr>
        <w:widowControl/>
        <w:snapToGrid w:val="0"/>
        <w:spacing w:before="100" w:after="100"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年度用于保障</w:t>
      </w:r>
      <w:r>
        <w:rPr>
          <w:rFonts w:hint="eastAsia" w:ascii="仿宋_GB2312" w:eastAsia="仿宋_GB2312"/>
          <w:sz w:val="30"/>
          <w:szCs w:val="30"/>
          <w:lang w:eastAsia="zh-CN"/>
        </w:rPr>
        <w:t>迪庆州水务局</w:t>
      </w:r>
      <w:r>
        <w:rPr>
          <w:rFonts w:hint="eastAsia" w:ascii="仿宋_GB2312" w:eastAsia="仿宋_GB2312"/>
          <w:sz w:val="30"/>
          <w:szCs w:val="30"/>
        </w:rPr>
        <w:t>机关、下属事业单位等机构正常运转的日常支出</w:t>
      </w:r>
      <w:r>
        <w:rPr>
          <w:rFonts w:hint="eastAsia" w:ascii="仿宋_GB2312" w:eastAsia="仿宋_GB2312"/>
          <w:sz w:val="30"/>
          <w:szCs w:val="30"/>
          <w:lang w:val="en-US" w:eastAsia="zh-CN"/>
        </w:rPr>
        <w:t>1285.59</w:t>
      </w:r>
      <w:r>
        <w:rPr>
          <w:rFonts w:hint="eastAsia" w:ascii="仿宋_GB2312" w:eastAsia="仿宋_GB2312"/>
          <w:sz w:val="30"/>
          <w:szCs w:val="30"/>
        </w:rPr>
        <w:t>万元。与上年对比</w:t>
      </w:r>
      <w:r>
        <w:rPr>
          <w:rFonts w:hint="eastAsia" w:ascii="仿宋_GB2312" w:eastAsia="仿宋_GB2312"/>
          <w:sz w:val="30"/>
          <w:szCs w:val="30"/>
          <w:lang w:eastAsia="zh-CN"/>
        </w:rPr>
        <w:t>基本支出增加</w:t>
      </w:r>
      <w:r>
        <w:rPr>
          <w:rFonts w:hint="eastAsia" w:ascii="仿宋_GB2312" w:eastAsia="仿宋_GB2312"/>
          <w:sz w:val="30"/>
          <w:szCs w:val="30"/>
          <w:lang w:val="en-US" w:eastAsia="zh-CN"/>
        </w:rPr>
        <w:t>277.5万元，</w:t>
      </w:r>
      <w:r>
        <w:rPr>
          <w:rFonts w:hint="eastAsia" w:ascii="仿宋_GB2312" w:eastAsia="仿宋_GB2312"/>
          <w:sz w:val="30"/>
          <w:szCs w:val="30"/>
        </w:rPr>
        <w:t>主要原因</w:t>
      </w:r>
      <w:r>
        <w:rPr>
          <w:rFonts w:hint="eastAsia" w:ascii="仿宋_GB2312" w:eastAsia="仿宋_GB2312"/>
          <w:sz w:val="30"/>
          <w:szCs w:val="30"/>
          <w:lang w:eastAsia="zh-CN"/>
        </w:rPr>
        <w:t>是工资增长，人员增多</w:t>
      </w:r>
      <w:r>
        <w:rPr>
          <w:rFonts w:hint="eastAsia" w:ascii="仿宋_GB2312" w:eastAsia="仿宋_GB2312"/>
          <w:sz w:val="30"/>
          <w:szCs w:val="30"/>
        </w:rPr>
        <w:t>。包括基本工资、津贴补贴等人员经费支出占基本支出的</w:t>
      </w:r>
      <w:r>
        <w:rPr>
          <w:rFonts w:hint="eastAsia" w:ascii="仿宋_GB2312" w:eastAsia="仿宋_GB2312"/>
          <w:sz w:val="30"/>
          <w:szCs w:val="30"/>
          <w:lang w:val="en-US" w:eastAsia="zh-CN"/>
        </w:rPr>
        <w:t>95.69</w:t>
      </w:r>
      <w:r>
        <w:rPr>
          <w:rFonts w:hint="eastAsia" w:ascii="仿宋_GB2312" w:eastAsia="仿宋_GB2312"/>
          <w:sz w:val="30"/>
          <w:szCs w:val="30"/>
        </w:rPr>
        <w:t>％；办公费、印刷费、水电费、办公设备购置等日常公用经费占基本支出的</w:t>
      </w:r>
      <w:r>
        <w:rPr>
          <w:rFonts w:hint="eastAsia" w:ascii="仿宋_GB2312" w:eastAsia="仿宋_GB2312"/>
          <w:sz w:val="30"/>
          <w:szCs w:val="30"/>
          <w:lang w:val="en-US" w:eastAsia="zh-CN"/>
        </w:rPr>
        <w:t>4.31</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p>
    <w:p>
      <w:pPr>
        <w:widowControl/>
        <w:snapToGrid w:val="0"/>
        <w:spacing w:before="100" w:after="100" w:line="600" w:lineRule="exact"/>
        <w:ind w:firstLine="600" w:firstLineChars="200"/>
        <w:jc w:val="left"/>
        <w:rPr>
          <w:rFonts w:hint="eastAsia" w:ascii="楷体" w:hAnsi="楷体" w:eastAsia="楷体"/>
          <w:sz w:val="30"/>
          <w:szCs w:val="30"/>
        </w:rPr>
      </w:pPr>
    </w:p>
    <w:p>
      <w:pPr>
        <w:widowControl/>
        <w:snapToGrid w:val="0"/>
        <w:spacing w:before="100" w:after="100" w:line="240" w:lineRule="auto"/>
        <w:ind w:firstLine="600" w:firstLineChars="200"/>
        <w:jc w:val="left"/>
        <w:rPr>
          <w:rFonts w:hint="eastAsia" w:ascii="楷体" w:hAnsi="楷体" w:eastAsia="楷体"/>
          <w:sz w:val="30"/>
          <w:szCs w:val="30"/>
          <w:lang w:eastAsia="zh-CN"/>
        </w:rPr>
      </w:pPr>
      <w:r>
        <w:rPr>
          <w:rFonts w:hint="eastAsia" w:ascii="楷体" w:hAnsi="楷体" w:eastAsia="楷体"/>
          <w:sz w:val="30"/>
          <w:szCs w:val="30"/>
          <w:lang w:eastAsia="zh-CN"/>
        </w:rPr>
        <w:drawing>
          <wp:inline distT="0" distB="0" distL="114300" distR="114300">
            <wp:extent cx="4391025" cy="2714625"/>
            <wp:effectExtent l="0" t="0" r="9525" b="9525"/>
            <wp:docPr id="4" name="图片 27" descr="基本支出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基本支出情况表"/>
                    <pic:cNvPicPr>
                      <a:picLocks noChangeAspect="1"/>
                    </pic:cNvPicPr>
                  </pic:nvPicPr>
                  <pic:blipFill>
                    <a:blip r:embed="rId10"/>
                    <a:stretch>
                      <a:fillRect/>
                    </a:stretch>
                  </pic:blipFill>
                  <pic:spPr>
                    <a:xfrm>
                      <a:off x="0" y="0"/>
                      <a:ext cx="4391025" cy="2714625"/>
                    </a:xfrm>
                    <a:prstGeom prst="rect">
                      <a:avLst/>
                    </a:prstGeom>
                    <a:noFill/>
                    <a:ln>
                      <a:noFill/>
                    </a:ln>
                  </pic:spPr>
                </pic:pic>
              </a:graphicData>
            </a:graphic>
          </wp:inline>
        </w:drawing>
      </w:r>
    </w:p>
    <w:p>
      <w:pPr>
        <w:widowControl/>
        <w:snapToGrid w:val="0"/>
        <w:spacing w:before="100" w:after="100" w:line="600" w:lineRule="exact"/>
        <w:ind w:firstLine="3120" w:firstLineChars="1300"/>
        <w:jc w:val="left"/>
        <w:rPr>
          <w:rFonts w:hint="eastAsia" w:ascii="仿宋_GB2312" w:eastAsia="仿宋_GB2312"/>
          <w:sz w:val="24"/>
          <w:szCs w:val="24"/>
          <w:lang w:eastAsia="zh-CN"/>
        </w:rPr>
      </w:pPr>
      <w:r>
        <w:rPr>
          <w:rFonts w:hint="eastAsia" w:ascii="仿宋_GB2312" w:eastAsia="仿宋_GB2312"/>
          <w:sz w:val="24"/>
          <w:szCs w:val="24"/>
          <w:lang w:eastAsia="zh-CN"/>
        </w:rPr>
        <w:t>基本支出情况表</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（二）项目支出情况</w:t>
      </w:r>
    </w:p>
    <w:p>
      <w:pPr>
        <w:widowControl/>
        <w:snapToGrid w:val="0"/>
        <w:spacing w:before="100" w:after="100" w:line="600" w:lineRule="exact"/>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年度用于保障</w:t>
      </w:r>
      <w:r>
        <w:rPr>
          <w:rFonts w:hint="eastAsia" w:ascii="仿宋_GB2312" w:eastAsia="仿宋_GB2312"/>
          <w:sz w:val="30"/>
          <w:szCs w:val="30"/>
          <w:lang w:eastAsia="zh-CN"/>
        </w:rPr>
        <w:t>迪庆州水务局</w:t>
      </w:r>
      <w:r>
        <w:rPr>
          <w:rFonts w:hint="eastAsia" w:ascii="仿宋_GB2312" w:eastAsia="仿宋_GB2312"/>
          <w:sz w:val="30"/>
          <w:szCs w:val="30"/>
        </w:rPr>
        <w:t>机</w:t>
      </w:r>
      <w:r>
        <w:rPr>
          <w:rFonts w:hint="eastAsia" w:ascii="仿宋_GB2312" w:eastAsia="仿宋_GB2312"/>
          <w:sz w:val="30"/>
          <w:szCs w:val="30"/>
          <w:lang w:eastAsia="zh-CN"/>
        </w:rPr>
        <w:t>关</w:t>
      </w:r>
      <w:r>
        <w:rPr>
          <w:rFonts w:hint="eastAsia" w:ascii="仿宋_GB2312" w:eastAsia="仿宋_GB2312"/>
          <w:sz w:val="30"/>
          <w:szCs w:val="30"/>
        </w:rPr>
        <w:t>、下属事业单位等机构为完成特定的行政工作任务或事业发展目标，用于专项业务工作的经费支出</w:t>
      </w:r>
      <w:r>
        <w:rPr>
          <w:rFonts w:hint="eastAsia" w:ascii="仿宋_GB2312" w:eastAsia="仿宋_GB2312"/>
          <w:sz w:val="30"/>
          <w:szCs w:val="30"/>
          <w:lang w:val="en-US" w:eastAsia="zh-CN"/>
        </w:rPr>
        <w:t>259.94</w:t>
      </w:r>
      <w:r>
        <w:rPr>
          <w:rFonts w:hint="eastAsia" w:ascii="仿宋_GB2312" w:eastAsia="仿宋_GB2312"/>
          <w:sz w:val="30"/>
          <w:szCs w:val="30"/>
        </w:rPr>
        <w:t>万元。与上年对比</w:t>
      </w:r>
      <w:r>
        <w:rPr>
          <w:rFonts w:hint="eastAsia" w:ascii="仿宋_GB2312" w:eastAsia="仿宋_GB2312"/>
          <w:sz w:val="30"/>
          <w:szCs w:val="30"/>
          <w:lang w:eastAsia="zh-CN"/>
        </w:rPr>
        <w:t>项目支出减少</w:t>
      </w:r>
      <w:r>
        <w:rPr>
          <w:rFonts w:hint="eastAsia" w:ascii="仿宋_GB2312" w:eastAsia="仿宋_GB2312"/>
          <w:sz w:val="30"/>
          <w:szCs w:val="30"/>
          <w:lang w:val="en-US" w:eastAsia="zh-CN"/>
        </w:rPr>
        <w:t>246.73万元，主要原因是2017年有竣工结算的项目占比较大</w:t>
      </w:r>
      <w:r>
        <w:rPr>
          <w:rFonts w:hint="eastAsia" w:ascii="仿宋_GB2312" w:eastAsia="仿宋_GB2312"/>
          <w:sz w:val="30"/>
          <w:szCs w:val="30"/>
        </w:rPr>
        <w:t>。具体项目开支及开展工作情况</w:t>
      </w:r>
      <w:r>
        <w:rPr>
          <w:rFonts w:hint="eastAsia" w:ascii="仿宋_GB2312" w:eastAsia="仿宋_GB2312"/>
          <w:sz w:val="30"/>
          <w:szCs w:val="30"/>
          <w:lang w:eastAsia="zh-CN"/>
        </w:rPr>
        <w:t>如下：2016年云南环保世纪行香格里拉活动组织奖支出</w:t>
      </w:r>
      <w:r>
        <w:rPr>
          <w:rFonts w:hint="eastAsia" w:ascii="仿宋_GB2312" w:eastAsia="仿宋_GB2312"/>
          <w:sz w:val="30"/>
          <w:szCs w:val="30"/>
          <w:lang w:val="en-US" w:eastAsia="zh-CN"/>
        </w:rPr>
        <w:t>2000.00元，2018年全州水利工作会议经费支出4400.00元，水利专项工作经费15500.00元，水土保持监督检查宣传工作经费支出27044.00元，2017年省级水利专项资金支出69754.00元，重要饮用水水源地达标建设考核奖补工作经费支出150000.00元，桑那小流域监测点运行管理经费支出120000.00元，水资源公报及水资源年报编制经费支出97295.50元，落实最严格水资源管理制度工作支出539680.74元，山洪灾害应急系统及视频会商系统日常运行维护支出99353.03元，防汛相关工作支出263728.93元，抗旱相关工作支出426564.70元，水利工程质量监督检查支出68548.00元，以前年度水利相关结转资金支出32956.00元，河长制专项工作经费支出300000.00元，中低产田地改造暨高标准农田建设项目工作经费支出50000.00元，2018年中央财政水利发展资金（河长制）支出304365.25元，安全生产目标责任考核奖励资金支出20000.00元，2017年河长制经费支出8176.00元</w:t>
      </w:r>
      <w:r>
        <w:rPr>
          <w:rFonts w:hint="eastAsia" w:ascii="仿宋_GB2312" w:eastAsia="仿宋_GB2312"/>
          <w:sz w:val="30"/>
          <w:szCs w:val="30"/>
        </w:rPr>
        <w:t>。</w:t>
      </w:r>
    </w:p>
    <w:p>
      <w:pPr>
        <w:widowControl/>
        <w:snapToGrid w:val="0"/>
        <w:spacing w:before="100" w:after="100" w:line="600" w:lineRule="exact"/>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lang w:val="en-US" w:eastAsia="zh-CN"/>
        </w:rPr>
        <w:t>2018年，我单位</w:t>
      </w:r>
      <w:r>
        <w:rPr>
          <w:rFonts w:hint="eastAsia" w:ascii="仿宋_GB2312" w:hAnsi="仿宋" w:eastAsia="仿宋_GB2312"/>
          <w:color w:val="000000"/>
          <w:sz w:val="32"/>
          <w:szCs w:val="32"/>
        </w:rPr>
        <w:t>围绕省水利厅、州委、州政府的中心工作和目标任务，以提高供水保障能力、水利工程管理水平、行业自律能力、依法管水治水能力，增强洪涝灾害应对和综合防御能力，增强水生态环境保护和修复能力，改善农业灌溉和农村饮水安全条件，提升水利为经济社会发展服务的水平，全面推进</w:t>
      </w:r>
      <w:r>
        <w:rPr>
          <w:rFonts w:hint="eastAsia" w:ascii="仿宋_GB2312" w:hAnsi="仿宋" w:eastAsia="仿宋_GB2312"/>
          <w:color w:val="000000"/>
          <w:sz w:val="32"/>
          <w:szCs w:val="32"/>
          <w:lang w:eastAsia="zh-CN"/>
        </w:rPr>
        <w:t>了</w:t>
      </w:r>
      <w:r>
        <w:rPr>
          <w:rFonts w:hint="eastAsia" w:ascii="仿宋_GB2312" w:hAnsi="仿宋" w:eastAsia="仿宋_GB2312"/>
          <w:color w:val="000000"/>
          <w:sz w:val="32"/>
          <w:szCs w:val="32"/>
        </w:rPr>
        <w:t>全州水利发展改革工作。</w:t>
      </w:r>
    </w:p>
    <w:p>
      <w:pPr>
        <w:widowControl/>
        <w:snapToGrid w:val="0"/>
        <w:spacing w:before="100" w:after="100" w:line="240" w:lineRule="auto"/>
        <w:ind w:firstLine="900" w:firstLineChars="300"/>
        <w:jc w:val="left"/>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4524375" cy="2781300"/>
            <wp:effectExtent l="0" t="0" r="9525" b="0"/>
            <wp:docPr id="5" name="图片 29" descr="项目支出情况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项目支出情况表"/>
                    <pic:cNvPicPr>
                      <a:picLocks noChangeAspect="1"/>
                    </pic:cNvPicPr>
                  </pic:nvPicPr>
                  <pic:blipFill>
                    <a:blip r:embed="rId11"/>
                    <a:stretch>
                      <a:fillRect/>
                    </a:stretch>
                  </pic:blipFill>
                  <pic:spPr>
                    <a:xfrm>
                      <a:off x="0" y="0"/>
                      <a:ext cx="4524375" cy="2781300"/>
                    </a:xfrm>
                    <a:prstGeom prst="rect">
                      <a:avLst/>
                    </a:prstGeom>
                    <a:noFill/>
                    <a:ln>
                      <a:noFill/>
                    </a:ln>
                  </pic:spPr>
                </pic:pic>
              </a:graphicData>
            </a:graphic>
          </wp:inline>
        </w:drawing>
      </w:r>
    </w:p>
    <w:p>
      <w:pPr>
        <w:widowControl/>
        <w:snapToGrid w:val="0"/>
        <w:spacing w:before="100" w:after="100" w:line="240" w:lineRule="auto"/>
        <w:ind w:firstLine="3120" w:firstLineChars="1300"/>
        <w:jc w:val="left"/>
        <w:rPr>
          <w:rFonts w:hint="eastAsia" w:ascii="黑体" w:hAnsi="黑体" w:eastAsia="黑体"/>
          <w:sz w:val="30"/>
          <w:szCs w:val="30"/>
          <w:lang w:eastAsia="zh-CN"/>
        </w:rPr>
      </w:pPr>
      <w:r>
        <w:rPr>
          <w:rFonts w:hint="eastAsia" w:ascii="仿宋_GB2312" w:hAnsi="仿宋" w:eastAsia="仿宋_GB2312"/>
          <w:color w:val="000000"/>
          <w:sz w:val="24"/>
          <w:szCs w:val="24"/>
          <w:lang w:eastAsia="zh-CN"/>
        </w:rPr>
        <w:t>项目支出情况表</w:t>
      </w:r>
    </w:p>
    <w:p>
      <w:pPr>
        <w:widowControl/>
        <w:snapToGrid w:val="0"/>
        <w:spacing w:before="100" w:after="100" w:line="600" w:lineRule="exact"/>
        <w:ind w:firstLine="900" w:firstLineChars="300"/>
        <w:jc w:val="left"/>
        <w:rPr>
          <w:rFonts w:hint="eastAsia" w:ascii="黑体" w:hAnsi="黑体" w:eastAsia="黑体"/>
          <w:sz w:val="30"/>
          <w:szCs w:val="30"/>
        </w:rPr>
      </w:pPr>
      <w:r>
        <w:rPr>
          <w:rFonts w:hint="eastAsia" w:ascii="黑体" w:hAnsi="黑体" w:eastAsia="黑体"/>
          <w:sz w:val="30"/>
          <w:szCs w:val="30"/>
        </w:rPr>
        <w:t>三、一般公共预算财政拨款支出决算情况说明</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（一）一般公共预算财政拨款支出决算总体情况</w:t>
      </w:r>
    </w:p>
    <w:p>
      <w:pPr>
        <w:widowControl/>
        <w:snapToGrid w:val="0"/>
        <w:spacing w:before="100" w:after="100" w:line="600" w:lineRule="exact"/>
        <w:ind w:firstLine="600" w:firstLineChars="200"/>
        <w:jc w:val="left"/>
        <w:rPr>
          <w:rFonts w:hint="eastAsia" w:ascii="仿宋_GB2312" w:hAnsi="宋体" w:eastAsia="仿宋_GB2312" w:cs="Arial"/>
          <w:kern w:val="0"/>
          <w:sz w:val="30"/>
          <w:szCs w:val="30"/>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年度一般公共预算财政拨款支出</w:t>
      </w:r>
      <w:r>
        <w:rPr>
          <w:rFonts w:hint="eastAsia" w:ascii="仿宋_GB2312" w:hAnsi="宋体" w:eastAsia="仿宋_GB2312" w:cs="Arial"/>
          <w:kern w:val="0"/>
          <w:sz w:val="30"/>
          <w:szCs w:val="30"/>
          <w:lang w:val="en-US" w:eastAsia="zh-CN"/>
        </w:rPr>
        <w:t>1514.78</w:t>
      </w:r>
      <w:r>
        <w:rPr>
          <w:rFonts w:hint="eastAsia" w:ascii="仿宋_GB2312" w:hAnsi="宋体" w:eastAsia="仿宋_GB2312" w:cs="Arial"/>
          <w:kern w:val="0"/>
          <w:sz w:val="30"/>
          <w:szCs w:val="30"/>
        </w:rPr>
        <w:t>万元,占本年支出合计的</w:t>
      </w:r>
      <w:r>
        <w:rPr>
          <w:rFonts w:hint="eastAsia" w:ascii="仿宋_GB2312" w:eastAsia="仿宋_GB2312"/>
          <w:sz w:val="30"/>
          <w:szCs w:val="30"/>
          <w:lang w:val="en-US" w:eastAsia="zh-CN"/>
        </w:rPr>
        <w:t>98.01</w:t>
      </w:r>
      <w:r>
        <w:rPr>
          <w:rFonts w:hint="eastAsia" w:ascii="仿宋_GB2312" w:hAnsi="宋体" w:eastAsia="仿宋_GB2312" w:cs="Arial"/>
          <w:kern w:val="0"/>
          <w:sz w:val="30"/>
          <w:szCs w:val="30"/>
        </w:rPr>
        <w:t>%。与上年</w:t>
      </w:r>
      <w:r>
        <w:rPr>
          <w:rFonts w:hint="eastAsia" w:ascii="仿宋_GB2312" w:hAnsi="宋体" w:eastAsia="仿宋_GB2312" w:cs="Arial"/>
          <w:kern w:val="0"/>
          <w:sz w:val="30"/>
          <w:szCs w:val="30"/>
          <w:lang w:eastAsia="zh-CN"/>
        </w:rPr>
        <w:t>占比</w:t>
      </w:r>
      <w:r>
        <w:rPr>
          <w:rFonts w:hint="eastAsia" w:ascii="仿宋_GB2312" w:hAnsi="宋体" w:eastAsia="仿宋_GB2312" w:cs="Arial"/>
          <w:kern w:val="0"/>
          <w:sz w:val="30"/>
          <w:szCs w:val="30"/>
          <w:lang w:val="en-US" w:eastAsia="zh-CN"/>
        </w:rPr>
        <w:t>98.22%</w:t>
      </w:r>
      <w:r>
        <w:rPr>
          <w:rFonts w:hint="eastAsia" w:ascii="仿宋_GB2312" w:hAnsi="宋体" w:eastAsia="仿宋_GB2312" w:cs="Arial"/>
          <w:kern w:val="0"/>
          <w:sz w:val="30"/>
          <w:szCs w:val="30"/>
        </w:rPr>
        <w:t>对比</w:t>
      </w:r>
      <w:r>
        <w:rPr>
          <w:rFonts w:hint="eastAsia" w:ascii="仿宋_GB2312" w:hAnsi="宋体" w:eastAsia="仿宋_GB2312" w:cs="Arial"/>
          <w:kern w:val="0"/>
          <w:sz w:val="30"/>
          <w:szCs w:val="30"/>
          <w:lang w:eastAsia="zh-CN"/>
        </w:rPr>
        <w:t>减少</w:t>
      </w:r>
      <w:r>
        <w:rPr>
          <w:rFonts w:hint="eastAsia" w:ascii="仿宋_GB2312" w:hAnsi="宋体" w:eastAsia="仿宋_GB2312" w:cs="Arial"/>
          <w:kern w:val="0"/>
          <w:sz w:val="30"/>
          <w:szCs w:val="30"/>
          <w:lang w:val="en-US" w:eastAsia="zh-CN"/>
        </w:rPr>
        <w:t>0.21%</w:t>
      </w:r>
      <w:r>
        <w:rPr>
          <w:rFonts w:hint="eastAsia" w:ascii="仿宋_GB2312" w:eastAsia="仿宋_GB2312"/>
          <w:sz w:val="30"/>
          <w:szCs w:val="30"/>
        </w:rPr>
        <w:t>,主要</w:t>
      </w:r>
      <w:r>
        <w:rPr>
          <w:rFonts w:hint="eastAsia" w:ascii="仿宋_GB2312" w:hAnsi="宋体" w:eastAsia="仿宋_GB2312" w:cs="Arial"/>
          <w:kern w:val="0"/>
          <w:sz w:val="30"/>
          <w:szCs w:val="30"/>
        </w:rPr>
        <w:t>原因</w:t>
      </w:r>
      <w:r>
        <w:rPr>
          <w:rFonts w:hint="eastAsia" w:ascii="仿宋_GB2312" w:hAnsi="宋体" w:eastAsia="仿宋_GB2312" w:cs="Arial"/>
          <w:kern w:val="0"/>
          <w:sz w:val="30"/>
          <w:szCs w:val="30"/>
          <w:lang w:eastAsia="zh-CN"/>
        </w:rPr>
        <w:t>是</w:t>
      </w:r>
      <w:r>
        <w:rPr>
          <w:rFonts w:hint="eastAsia" w:ascii="仿宋_GB2312" w:eastAsia="仿宋_GB2312"/>
          <w:sz w:val="30"/>
          <w:szCs w:val="30"/>
          <w:lang w:val="en-US" w:eastAsia="zh-CN"/>
        </w:rPr>
        <w:t>2017年有竣工结算的项目占比较大</w:t>
      </w:r>
      <w:r>
        <w:rPr>
          <w:rFonts w:hint="eastAsia" w:ascii="仿宋_GB2312" w:hAnsi="宋体" w:eastAsia="仿宋_GB2312" w:cs="Arial"/>
          <w:kern w:val="0"/>
          <w:sz w:val="30"/>
          <w:szCs w:val="30"/>
        </w:rPr>
        <w:t>。</w:t>
      </w:r>
    </w:p>
    <w:p>
      <w:pPr>
        <w:widowControl/>
        <w:snapToGrid w:val="0"/>
        <w:spacing w:before="100" w:after="100" w:line="600" w:lineRule="exact"/>
        <w:ind w:firstLine="600" w:firstLineChars="200"/>
        <w:jc w:val="left"/>
        <w:rPr>
          <w:rFonts w:hint="eastAsia" w:ascii="楷体" w:hAnsi="楷体" w:eastAsia="楷体"/>
          <w:sz w:val="30"/>
          <w:szCs w:val="30"/>
        </w:rPr>
      </w:pPr>
      <w:r>
        <w:rPr>
          <w:rFonts w:hint="eastAsia" w:ascii="楷体" w:hAnsi="楷体" w:eastAsia="楷体"/>
          <w:sz w:val="30"/>
          <w:szCs w:val="30"/>
        </w:rPr>
        <w:t>（二）一般公共预算财政拨款支出决算具体情况</w:t>
      </w:r>
      <w:r>
        <w:rPr>
          <w:rFonts w:hint="eastAsia" w:ascii="楷体" w:hAnsi="楷体" w:eastAsia="楷体"/>
          <w:sz w:val="30"/>
          <w:szCs w:val="30"/>
        </w:rPr>
        <w:tab/>
      </w:r>
      <w:r>
        <w:rPr>
          <w:rFonts w:hint="eastAsia" w:ascii="楷体" w:hAnsi="楷体" w:eastAsia="楷体"/>
          <w:sz w:val="30"/>
          <w:szCs w:val="30"/>
        </w:rPr>
        <w:tab/>
      </w:r>
      <w:r>
        <w:rPr>
          <w:rFonts w:hint="eastAsia" w:ascii="楷体" w:hAnsi="楷体" w:eastAsia="楷体"/>
          <w:sz w:val="30"/>
          <w:szCs w:val="30"/>
        </w:rPr>
        <w:tab/>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1.一般公共服务（类）支出</w:t>
      </w:r>
      <w:r>
        <w:rPr>
          <w:rFonts w:hint="eastAsia" w:ascii="仿宋_GB2312" w:hAnsi="宋体" w:eastAsia="仿宋_GB2312" w:cs="Arial"/>
          <w:kern w:val="0"/>
          <w:sz w:val="30"/>
          <w:szCs w:val="30"/>
          <w:lang w:val="en-US" w:eastAsia="zh-CN"/>
        </w:rPr>
        <w:t>45.73</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3.02</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办公取暖费及目标督查绩效的支出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2.</w:t>
      </w:r>
      <w:r>
        <w:rPr>
          <w:rFonts w:hint="eastAsia" w:ascii="仿宋_GB2312" w:hAnsi="宋体" w:eastAsia="仿宋_GB2312" w:cs="Arial"/>
          <w:kern w:val="0"/>
          <w:sz w:val="30"/>
          <w:szCs w:val="30"/>
          <w:lang w:eastAsia="zh-CN"/>
        </w:rPr>
        <w:t>社会保障和就业</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157.24</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10.38</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养老保险、职业年金纪实、退休人员公用经费的支出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3.</w:t>
      </w:r>
      <w:r>
        <w:rPr>
          <w:rFonts w:hint="eastAsia" w:ascii="仿宋_GB2312" w:hAnsi="宋体" w:eastAsia="仿宋_GB2312" w:cs="Arial"/>
          <w:kern w:val="0"/>
          <w:sz w:val="30"/>
          <w:szCs w:val="30"/>
          <w:lang w:eastAsia="zh-CN"/>
        </w:rPr>
        <w:t>医疗卫生和计划生育</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84.94</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5.61</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缴纳医疗保险及体检费</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4.</w:t>
      </w:r>
      <w:r>
        <w:rPr>
          <w:rFonts w:hint="eastAsia" w:ascii="仿宋_GB2312" w:hAnsi="宋体" w:eastAsia="仿宋_GB2312" w:cs="Arial"/>
          <w:kern w:val="0"/>
          <w:sz w:val="30"/>
          <w:szCs w:val="30"/>
          <w:lang w:eastAsia="zh-CN"/>
        </w:rPr>
        <w:t>农林水</w:t>
      </w:r>
      <w:r>
        <w:rPr>
          <w:rFonts w:hint="eastAsia" w:ascii="仿宋_GB2312" w:hAnsi="宋体" w:eastAsia="仿宋_GB2312" w:cs="Arial"/>
          <w:kern w:val="0"/>
          <w:sz w:val="30"/>
          <w:szCs w:val="30"/>
        </w:rPr>
        <w:t>（类）支出</w:t>
      </w:r>
      <w:r>
        <w:rPr>
          <w:rFonts w:hint="eastAsia" w:ascii="仿宋_GB2312" w:eastAsia="仿宋_GB2312"/>
          <w:sz w:val="30"/>
          <w:szCs w:val="30"/>
          <w:lang w:val="en-US" w:eastAsia="zh-CN"/>
        </w:rPr>
        <w:t>1149.21</w:t>
      </w:r>
      <w:r>
        <w:rPr>
          <w:rFonts w:hint="eastAsia" w:ascii="仿宋_GB2312" w:hAnsi="宋体" w:eastAsia="仿宋_GB2312" w:cs="Arial"/>
          <w:kern w:val="0"/>
          <w:sz w:val="30"/>
          <w:szCs w:val="30"/>
        </w:rPr>
        <w:t>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75.86</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人员工资、日常公用经费、专项经费的支出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lang w:val="en-US" w:eastAsia="zh-CN"/>
        </w:rPr>
        <w:t>5、住房保障（类）支出77.67万元，</w:t>
      </w:r>
      <w:r>
        <w:rPr>
          <w:rFonts w:hint="eastAsia" w:ascii="仿宋_GB2312" w:eastAsia="仿宋_GB2312"/>
          <w:sz w:val="30"/>
          <w:szCs w:val="30"/>
        </w:rPr>
        <w:t>占一般公共预算财政拨款总支出的</w:t>
      </w:r>
      <w:r>
        <w:rPr>
          <w:rFonts w:hint="eastAsia" w:ascii="仿宋_GB2312" w:eastAsia="仿宋_GB2312"/>
          <w:sz w:val="30"/>
          <w:szCs w:val="30"/>
          <w:lang w:val="en-US" w:eastAsia="zh-CN"/>
        </w:rPr>
        <w:t>5.13</w:t>
      </w:r>
      <w:r>
        <w:rPr>
          <w:rFonts w:hint="eastAsia" w:ascii="仿宋_GB2312" w:eastAsia="仿宋_GB2312"/>
          <w:sz w:val="30"/>
          <w:szCs w:val="30"/>
        </w:rPr>
        <w:t>%。</w:t>
      </w:r>
      <w:r>
        <w:rPr>
          <w:rFonts w:hint="eastAsia" w:ascii="仿宋_GB2312" w:hAnsi="宋体" w:eastAsia="仿宋_GB2312" w:cs="Arial"/>
          <w:kern w:val="0"/>
          <w:sz w:val="30"/>
          <w:szCs w:val="30"/>
        </w:rPr>
        <w:t>主要用于</w:t>
      </w:r>
      <w:r>
        <w:rPr>
          <w:rFonts w:hint="eastAsia" w:ascii="仿宋_GB2312" w:hAnsi="宋体" w:eastAsia="仿宋_GB2312" w:cs="Arial"/>
          <w:kern w:val="0"/>
          <w:sz w:val="30"/>
          <w:szCs w:val="30"/>
          <w:lang w:eastAsia="zh-CN"/>
        </w:rPr>
        <w:t>住房公积金缴纳及退休人员住房补贴支出</w:t>
      </w:r>
      <w:r>
        <w:rPr>
          <w:rFonts w:hint="eastAsia" w:ascii="仿宋_GB2312" w:hAnsi="宋体" w:eastAsia="仿宋_GB2312" w:cs="Arial"/>
          <w:kern w:val="0"/>
          <w:sz w:val="30"/>
          <w:szCs w:val="30"/>
        </w:rPr>
        <w:t>。</w:t>
      </w:r>
    </w:p>
    <w:p>
      <w:pPr>
        <w:widowControl/>
        <w:snapToGrid w:val="0"/>
        <w:spacing w:before="100" w:after="100" w:line="360" w:lineRule="auto"/>
        <w:ind w:firstLine="600" w:firstLineChars="200"/>
        <w:jc w:val="left"/>
        <w:rPr>
          <w:rFonts w:hint="eastAsia" w:ascii="黑体" w:hAnsi="黑体" w:eastAsia="黑体"/>
          <w:sz w:val="30"/>
          <w:szCs w:val="30"/>
        </w:rPr>
      </w:pPr>
    </w:p>
    <w:p>
      <w:pPr>
        <w:widowControl/>
        <w:snapToGrid w:val="0"/>
        <w:spacing w:before="100" w:after="100" w:line="360" w:lineRule="auto"/>
        <w:ind w:firstLine="600" w:firstLineChars="200"/>
        <w:jc w:val="left"/>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5524500" cy="3009900"/>
            <wp:effectExtent l="0" t="0" r="0" b="0"/>
            <wp:docPr id="6" name="图片 31" descr="一般公共预算财政拨款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1" descr="一般公共预算财政拨款支出表"/>
                    <pic:cNvPicPr>
                      <a:picLocks noChangeAspect="1"/>
                    </pic:cNvPicPr>
                  </pic:nvPicPr>
                  <pic:blipFill>
                    <a:blip r:embed="rId12"/>
                    <a:stretch>
                      <a:fillRect/>
                    </a:stretch>
                  </pic:blipFill>
                  <pic:spPr>
                    <a:xfrm>
                      <a:off x="0" y="0"/>
                      <a:ext cx="5524500" cy="3009900"/>
                    </a:xfrm>
                    <a:prstGeom prst="rect">
                      <a:avLst/>
                    </a:prstGeom>
                    <a:noFill/>
                    <a:ln>
                      <a:noFill/>
                    </a:ln>
                  </pic:spPr>
                </pic:pic>
              </a:graphicData>
            </a:graphic>
          </wp:inline>
        </w:drawing>
      </w:r>
    </w:p>
    <w:p>
      <w:pPr>
        <w:widowControl/>
        <w:snapToGrid w:val="0"/>
        <w:spacing w:before="100" w:after="100" w:line="360" w:lineRule="auto"/>
        <w:ind w:firstLine="3360" w:firstLineChars="1400"/>
        <w:jc w:val="left"/>
        <w:rPr>
          <w:rFonts w:hint="eastAsia" w:ascii="黑体" w:hAnsi="黑体" w:eastAsia="黑体"/>
          <w:sz w:val="30"/>
          <w:szCs w:val="30"/>
        </w:rPr>
      </w:pPr>
      <w:r>
        <w:rPr>
          <w:rFonts w:hint="eastAsia" w:ascii="楷体" w:hAnsi="楷体" w:eastAsia="楷体"/>
          <w:sz w:val="24"/>
          <w:szCs w:val="24"/>
        </w:rPr>
        <w:t>一般公共预算财政拨款支出表</w:t>
      </w:r>
    </w:p>
    <w:p>
      <w:pPr>
        <w:widowControl/>
        <w:snapToGrid w:val="0"/>
        <w:spacing w:before="100" w:after="100" w:line="360" w:lineRule="auto"/>
        <w:ind w:firstLine="600" w:firstLineChars="200"/>
        <w:jc w:val="left"/>
        <w:rPr>
          <w:rFonts w:hint="eastAsia" w:ascii="黑体" w:hAnsi="黑体" w:eastAsia="黑体"/>
          <w:sz w:val="30"/>
          <w:szCs w:val="30"/>
        </w:rPr>
      </w:pPr>
    </w:p>
    <w:p>
      <w:pPr>
        <w:widowControl/>
        <w:snapToGrid w:val="0"/>
        <w:spacing w:before="100" w:after="100" w:line="360" w:lineRule="auto"/>
        <w:ind w:firstLine="600" w:firstLineChars="200"/>
        <w:jc w:val="left"/>
        <w:rPr>
          <w:rFonts w:hint="eastAsia" w:ascii="黑体" w:hAnsi="黑体" w:eastAsia="黑体"/>
          <w:sz w:val="30"/>
          <w:szCs w:val="30"/>
        </w:rPr>
      </w:pPr>
      <w:r>
        <w:rPr>
          <w:rFonts w:hint="eastAsia" w:ascii="黑体" w:hAnsi="黑体" w:eastAsia="黑体"/>
          <w:sz w:val="30"/>
          <w:szCs w:val="30"/>
        </w:rPr>
        <w:t>四、一般公共预算财政拨款“三公”经费支出决算情况说明</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(一)</w:t>
      </w:r>
      <w:r>
        <w:rPr>
          <w:rFonts w:hint="eastAsia" w:ascii="黑体" w:hAnsi="黑体" w:eastAsia="黑体"/>
          <w:sz w:val="30"/>
          <w:szCs w:val="30"/>
        </w:rPr>
        <w:t xml:space="preserve"> </w:t>
      </w:r>
      <w:r>
        <w:rPr>
          <w:rFonts w:hint="eastAsia" w:ascii="楷体" w:hAnsi="楷体" w:eastAsia="楷体"/>
          <w:sz w:val="30"/>
          <w:szCs w:val="30"/>
        </w:rPr>
        <w:t>一般公共预算财政拨款“三公”经费支出决算总体情况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迪庆州水务局</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年度一般公共预算财政拨款“三公”经费支出预算为</w:t>
      </w:r>
      <w:r>
        <w:rPr>
          <w:rFonts w:hint="eastAsia" w:ascii="仿宋_GB2312" w:eastAsia="仿宋_GB2312"/>
          <w:sz w:val="30"/>
          <w:szCs w:val="30"/>
          <w:lang w:val="en-US" w:eastAsia="zh-CN"/>
        </w:rPr>
        <w:t>8.5</w:t>
      </w:r>
      <w:r>
        <w:rPr>
          <w:rFonts w:hint="eastAsia" w:ascii="仿宋_GB2312" w:eastAsia="仿宋_GB2312"/>
          <w:sz w:val="30"/>
          <w:szCs w:val="30"/>
        </w:rPr>
        <w:t>万元，支出决算为</w:t>
      </w:r>
      <w:r>
        <w:rPr>
          <w:rFonts w:hint="eastAsia" w:ascii="仿宋_GB2312" w:eastAsia="仿宋_GB2312"/>
          <w:sz w:val="30"/>
          <w:szCs w:val="30"/>
          <w:lang w:val="en-US" w:eastAsia="zh-CN"/>
        </w:rPr>
        <w:t>7.7</w:t>
      </w:r>
      <w:r>
        <w:rPr>
          <w:rFonts w:hint="eastAsia" w:ascii="仿宋_GB2312" w:eastAsia="仿宋_GB2312"/>
          <w:sz w:val="30"/>
          <w:szCs w:val="30"/>
        </w:rPr>
        <w:t>万元，完成预算的</w:t>
      </w:r>
      <w:r>
        <w:rPr>
          <w:rFonts w:hint="eastAsia" w:ascii="仿宋_GB2312" w:eastAsia="仿宋_GB2312"/>
          <w:sz w:val="30"/>
          <w:szCs w:val="30"/>
          <w:lang w:val="en-US" w:eastAsia="zh-CN"/>
        </w:rPr>
        <w:t>90.59</w:t>
      </w:r>
      <w:r>
        <w:rPr>
          <w:rFonts w:hint="eastAsia" w:ascii="仿宋_GB2312" w:eastAsia="仿宋_GB2312"/>
          <w:sz w:val="30"/>
          <w:szCs w:val="30"/>
        </w:rPr>
        <w:t>%。其中：因公出国（境）费支出决算为</w:t>
      </w:r>
      <w:r>
        <w:rPr>
          <w:rFonts w:hint="eastAsia" w:ascii="仿宋_GB2312" w:eastAsia="仿宋_GB2312"/>
          <w:sz w:val="30"/>
          <w:szCs w:val="30"/>
          <w:lang w:val="en-US" w:eastAsia="zh-CN"/>
        </w:rPr>
        <w:t>0</w:t>
      </w:r>
      <w:r>
        <w:rPr>
          <w:rFonts w:hint="eastAsia" w:ascii="仿宋_GB2312" w:eastAsia="仿宋_GB2312"/>
          <w:sz w:val="30"/>
          <w:szCs w:val="30"/>
        </w:rPr>
        <w:t>万元，完成预算的</w:t>
      </w:r>
      <w:r>
        <w:rPr>
          <w:rFonts w:hint="eastAsia" w:ascii="仿宋_GB2312" w:eastAsia="仿宋_GB2312"/>
          <w:sz w:val="30"/>
          <w:szCs w:val="30"/>
          <w:lang w:val="en-US" w:eastAsia="zh-CN"/>
        </w:rPr>
        <w:t>100</w:t>
      </w:r>
      <w:r>
        <w:rPr>
          <w:rFonts w:hint="eastAsia" w:ascii="仿宋_GB2312" w:eastAsia="仿宋_GB2312"/>
          <w:sz w:val="30"/>
          <w:szCs w:val="30"/>
        </w:rPr>
        <w:t>%；公务用车购置及运行费支出决算为</w:t>
      </w:r>
      <w:r>
        <w:rPr>
          <w:rFonts w:hint="eastAsia" w:ascii="仿宋_GB2312" w:eastAsia="仿宋_GB2312"/>
          <w:sz w:val="30"/>
          <w:szCs w:val="30"/>
          <w:lang w:val="en-US" w:eastAsia="zh-CN"/>
        </w:rPr>
        <w:t>4.07</w:t>
      </w:r>
      <w:r>
        <w:rPr>
          <w:rFonts w:hint="eastAsia" w:ascii="仿宋_GB2312" w:eastAsia="仿宋_GB2312"/>
          <w:sz w:val="30"/>
          <w:szCs w:val="30"/>
        </w:rPr>
        <w:t>万元，完成预算的</w:t>
      </w:r>
      <w:r>
        <w:rPr>
          <w:rFonts w:hint="eastAsia" w:ascii="仿宋_GB2312" w:eastAsia="仿宋_GB2312"/>
          <w:sz w:val="30"/>
          <w:szCs w:val="30"/>
          <w:lang w:val="en-US" w:eastAsia="zh-CN"/>
        </w:rPr>
        <w:t>90.44</w:t>
      </w:r>
      <w:r>
        <w:rPr>
          <w:rFonts w:hint="eastAsia" w:ascii="仿宋_GB2312" w:eastAsia="仿宋_GB2312"/>
          <w:sz w:val="30"/>
          <w:szCs w:val="30"/>
        </w:rPr>
        <w:t>%；公务接待费支出决算为</w:t>
      </w:r>
      <w:r>
        <w:rPr>
          <w:rFonts w:hint="eastAsia" w:ascii="仿宋_GB2312" w:eastAsia="仿宋_GB2312"/>
          <w:sz w:val="30"/>
          <w:szCs w:val="30"/>
          <w:lang w:val="en-US" w:eastAsia="zh-CN"/>
        </w:rPr>
        <w:t>3.66</w:t>
      </w:r>
      <w:r>
        <w:rPr>
          <w:rFonts w:hint="eastAsia" w:ascii="仿宋_GB2312" w:eastAsia="仿宋_GB2312"/>
          <w:sz w:val="30"/>
          <w:szCs w:val="30"/>
        </w:rPr>
        <w:t>万元，完成预算的</w:t>
      </w:r>
      <w:r>
        <w:rPr>
          <w:rFonts w:hint="eastAsia" w:ascii="仿宋_GB2312" w:eastAsia="仿宋_GB2312"/>
          <w:sz w:val="30"/>
          <w:szCs w:val="30"/>
          <w:lang w:val="en-US" w:eastAsia="zh-CN"/>
        </w:rPr>
        <w:t>91.5</w:t>
      </w:r>
      <w:r>
        <w:rPr>
          <w:rFonts w:hint="eastAsia" w:ascii="仿宋_GB2312" w:eastAsia="仿宋_GB2312"/>
          <w:sz w:val="30"/>
          <w:szCs w:val="30"/>
        </w:rPr>
        <w:t>%。</w:t>
      </w: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年度一般公共预算财政拨款“三公”经费支出决算数小于预算数的主要原因</w:t>
      </w:r>
      <w:r>
        <w:rPr>
          <w:rFonts w:hint="eastAsia" w:ascii="仿宋_GB2312" w:eastAsia="仿宋_GB2312"/>
          <w:sz w:val="30"/>
          <w:szCs w:val="30"/>
          <w:lang w:eastAsia="zh-CN"/>
        </w:rPr>
        <w:t>是公务接待费开支较少，严格控制公务接待的支出，以及合理开支公务用车运行维护支出</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年度一般公共预算财政拨款“三公”经费支出决算数比</w:t>
      </w:r>
      <w:r>
        <w:rPr>
          <w:rFonts w:hint="eastAsia" w:ascii="仿宋_GB2312" w:eastAsia="仿宋_GB2312"/>
          <w:sz w:val="30"/>
          <w:szCs w:val="30"/>
          <w:lang w:val="en-US" w:eastAsia="zh-CN"/>
        </w:rPr>
        <w:t>2017</w:t>
      </w:r>
      <w:r>
        <w:rPr>
          <w:rFonts w:hint="eastAsia" w:ascii="仿宋_GB2312" w:eastAsia="仿宋_GB2312"/>
          <w:sz w:val="30"/>
          <w:szCs w:val="30"/>
        </w:rPr>
        <w:t>年减少</w:t>
      </w:r>
      <w:r>
        <w:rPr>
          <w:rFonts w:hint="eastAsia" w:ascii="仿宋_GB2312" w:eastAsia="仿宋_GB2312"/>
          <w:sz w:val="30"/>
          <w:szCs w:val="30"/>
          <w:lang w:val="en-US" w:eastAsia="zh-CN"/>
        </w:rPr>
        <w:t>20.57</w:t>
      </w:r>
      <w:r>
        <w:rPr>
          <w:rFonts w:hint="eastAsia" w:ascii="仿宋_GB2312" w:eastAsia="仿宋_GB2312"/>
          <w:sz w:val="30"/>
          <w:szCs w:val="30"/>
        </w:rPr>
        <w:t>万元，下降</w:t>
      </w:r>
      <w:r>
        <w:rPr>
          <w:rFonts w:hint="eastAsia" w:ascii="仿宋_GB2312" w:eastAsia="仿宋_GB2312"/>
          <w:sz w:val="30"/>
          <w:szCs w:val="30"/>
          <w:lang w:val="en-US" w:eastAsia="zh-CN"/>
        </w:rPr>
        <w:t>72.69</w:t>
      </w:r>
      <w:r>
        <w:rPr>
          <w:rFonts w:hint="eastAsia" w:ascii="仿宋_GB2312" w:eastAsia="仿宋_GB2312"/>
          <w:sz w:val="30"/>
          <w:szCs w:val="30"/>
        </w:rPr>
        <w:t>%。其中：因公出国（境）费支出决算</w:t>
      </w:r>
      <w:r>
        <w:rPr>
          <w:rFonts w:hint="eastAsia" w:ascii="仿宋_GB2312" w:eastAsia="仿宋_GB2312"/>
          <w:sz w:val="30"/>
          <w:szCs w:val="30"/>
          <w:lang w:val="en-US" w:eastAsia="zh-CN"/>
        </w:rPr>
        <w:t>0</w:t>
      </w:r>
      <w:r>
        <w:rPr>
          <w:rFonts w:hint="eastAsia" w:ascii="仿宋_GB2312" w:eastAsia="仿宋_GB2312"/>
          <w:sz w:val="30"/>
          <w:szCs w:val="30"/>
        </w:rPr>
        <w:t>万元，</w:t>
      </w:r>
      <w:r>
        <w:rPr>
          <w:rFonts w:hint="eastAsia" w:ascii="仿宋_GB2312" w:eastAsia="仿宋_GB2312"/>
          <w:sz w:val="30"/>
          <w:szCs w:val="30"/>
          <w:lang w:eastAsia="zh-CN"/>
        </w:rPr>
        <w:t>较上年无变化</w:t>
      </w:r>
      <w:r>
        <w:rPr>
          <w:rFonts w:hint="eastAsia" w:ascii="仿宋_GB2312" w:eastAsia="仿宋_GB2312"/>
          <w:sz w:val="30"/>
          <w:szCs w:val="30"/>
        </w:rPr>
        <w:t>；公务用车购置及运行费支出决算减少</w:t>
      </w:r>
      <w:r>
        <w:rPr>
          <w:rFonts w:hint="eastAsia" w:ascii="仿宋_GB2312" w:eastAsia="仿宋_GB2312"/>
          <w:sz w:val="30"/>
          <w:szCs w:val="30"/>
          <w:lang w:val="en-US" w:eastAsia="zh-CN"/>
        </w:rPr>
        <w:t>16.63</w:t>
      </w:r>
      <w:r>
        <w:rPr>
          <w:rFonts w:hint="eastAsia" w:ascii="仿宋_GB2312" w:eastAsia="仿宋_GB2312"/>
          <w:sz w:val="30"/>
          <w:szCs w:val="30"/>
        </w:rPr>
        <w:t>万元，下降</w:t>
      </w:r>
      <w:r>
        <w:rPr>
          <w:rFonts w:hint="eastAsia" w:ascii="仿宋_GB2312" w:eastAsia="仿宋_GB2312"/>
          <w:sz w:val="30"/>
          <w:szCs w:val="30"/>
          <w:lang w:val="en-US" w:eastAsia="zh-CN"/>
        </w:rPr>
        <w:t>80.34</w:t>
      </w:r>
      <w:r>
        <w:rPr>
          <w:rFonts w:hint="eastAsia" w:ascii="仿宋_GB2312" w:eastAsia="仿宋_GB2312"/>
          <w:sz w:val="30"/>
          <w:szCs w:val="30"/>
        </w:rPr>
        <w:t>%；公务接待费支出决算减少</w:t>
      </w:r>
      <w:r>
        <w:rPr>
          <w:rFonts w:hint="eastAsia" w:ascii="仿宋_GB2312" w:eastAsia="仿宋_GB2312"/>
          <w:sz w:val="30"/>
          <w:szCs w:val="30"/>
          <w:lang w:val="en-US" w:eastAsia="zh-CN"/>
        </w:rPr>
        <w:t>3.94</w:t>
      </w:r>
      <w:r>
        <w:rPr>
          <w:rFonts w:hint="eastAsia" w:ascii="仿宋_GB2312" w:eastAsia="仿宋_GB2312"/>
          <w:sz w:val="30"/>
          <w:szCs w:val="30"/>
        </w:rPr>
        <w:t>万元，下降</w:t>
      </w:r>
      <w:r>
        <w:rPr>
          <w:rFonts w:hint="eastAsia" w:ascii="仿宋_GB2312" w:eastAsia="仿宋_GB2312"/>
          <w:sz w:val="30"/>
          <w:szCs w:val="30"/>
          <w:lang w:val="en-US" w:eastAsia="zh-CN"/>
        </w:rPr>
        <w:t>51.84</w:t>
      </w:r>
      <w:r>
        <w:rPr>
          <w:rFonts w:hint="eastAsia" w:ascii="仿宋_GB2312" w:eastAsia="仿宋_GB2312"/>
          <w:sz w:val="30"/>
          <w:szCs w:val="30"/>
        </w:rPr>
        <w:t>%。</w:t>
      </w:r>
      <w:r>
        <w:rPr>
          <w:rFonts w:hint="eastAsia" w:ascii="仿宋_GB2312" w:eastAsia="仿宋_GB2312"/>
          <w:sz w:val="30"/>
          <w:szCs w:val="30"/>
          <w:lang w:val="en-US" w:eastAsia="zh-CN"/>
        </w:rPr>
        <w:t>2018</w:t>
      </w:r>
      <w:r>
        <w:rPr>
          <w:rFonts w:hint="eastAsia" w:ascii="仿宋_GB2312" w:eastAsia="仿宋_GB2312"/>
          <w:sz w:val="30"/>
          <w:szCs w:val="30"/>
        </w:rPr>
        <w:t>年度一般公共预</w:t>
      </w:r>
      <w:bookmarkStart w:id="0" w:name="_GoBack"/>
      <w:bookmarkEnd w:id="0"/>
      <w:r>
        <w:rPr>
          <w:rFonts w:hint="eastAsia" w:ascii="仿宋_GB2312" w:eastAsia="仿宋_GB2312"/>
          <w:sz w:val="30"/>
          <w:szCs w:val="30"/>
        </w:rPr>
        <w:t>算财政拨款“三公”经费支出决算减少的主要原因</w:t>
      </w:r>
      <w:r>
        <w:rPr>
          <w:rFonts w:hint="eastAsia" w:ascii="仿宋_GB2312" w:eastAsia="仿宋_GB2312"/>
          <w:sz w:val="30"/>
          <w:szCs w:val="30"/>
          <w:lang w:eastAsia="zh-CN"/>
        </w:rPr>
        <w:t>是公务接待费开支较少，严格控制公务接待的支出，以及合理开支公务用车运行维护支出</w:t>
      </w:r>
      <w:r>
        <w:rPr>
          <w:rFonts w:hint="eastAsia" w:ascii="仿宋_GB2312" w:eastAsia="仿宋_GB2312"/>
          <w:sz w:val="30"/>
          <w:szCs w:val="30"/>
        </w:rPr>
        <w:t>。</w:t>
      </w:r>
    </w:p>
    <w:p>
      <w:pPr>
        <w:widowControl/>
        <w:snapToGrid w:val="0"/>
        <w:spacing w:before="100" w:after="100" w:line="360" w:lineRule="auto"/>
        <w:ind w:firstLine="600" w:firstLineChars="200"/>
        <w:jc w:val="left"/>
        <w:rPr>
          <w:rFonts w:hint="eastAsia" w:ascii="楷体" w:hAnsi="楷体" w:eastAsia="楷体"/>
          <w:sz w:val="30"/>
          <w:szCs w:val="30"/>
        </w:rPr>
      </w:pPr>
      <w:r>
        <w:rPr>
          <w:rFonts w:hint="eastAsia" w:ascii="楷体" w:hAnsi="楷体" w:eastAsia="楷体"/>
          <w:sz w:val="30"/>
          <w:szCs w:val="30"/>
        </w:rPr>
        <w:t>(二)</w:t>
      </w:r>
      <w:r>
        <w:rPr>
          <w:rFonts w:hint="eastAsia" w:ascii="仿宋_GB2312" w:eastAsia="仿宋_GB2312"/>
          <w:sz w:val="30"/>
          <w:szCs w:val="30"/>
        </w:rPr>
        <w:t xml:space="preserve"> </w:t>
      </w:r>
      <w:r>
        <w:rPr>
          <w:rFonts w:hint="eastAsia" w:ascii="楷体" w:hAnsi="楷体" w:eastAsia="楷体"/>
          <w:sz w:val="30"/>
          <w:szCs w:val="30"/>
        </w:rPr>
        <w:t>一般公共预算财政拨款“三公”经费支出决算具体情况</w:t>
      </w:r>
    </w:p>
    <w:p>
      <w:pPr>
        <w:widowControl/>
        <w:snapToGrid w:val="0"/>
        <w:spacing w:before="100" w:after="100"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2018</w:t>
      </w:r>
      <w:r>
        <w:rPr>
          <w:rFonts w:hint="eastAsia" w:ascii="仿宋_GB2312" w:eastAsia="仿宋_GB2312"/>
          <w:sz w:val="30"/>
          <w:szCs w:val="30"/>
        </w:rPr>
        <w:t>年度一般公共预算财政拨款“三公”经费支出决算中，因公出国（境）费支出</w:t>
      </w:r>
      <w:r>
        <w:rPr>
          <w:rFonts w:hint="eastAsia" w:ascii="仿宋_GB2312" w:eastAsia="仿宋_GB2312"/>
          <w:sz w:val="30"/>
          <w:szCs w:val="30"/>
          <w:lang w:val="en-US" w:eastAsia="zh-CN"/>
        </w:rPr>
        <w:t>0</w:t>
      </w:r>
      <w:r>
        <w:rPr>
          <w:rFonts w:hint="eastAsia" w:ascii="仿宋_GB2312" w:eastAsia="仿宋_GB2312"/>
          <w:sz w:val="30"/>
          <w:szCs w:val="30"/>
        </w:rPr>
        <w:t>万元，占</w:t>
      </w:r>
      <w:r>
        <w:rPr>
          <w:rFonts w:hint="eastAsia" w:ascii="仿宋_GB2312" w:eastAsia="仿宋_GB2312"/>
          <w:sz w:val="30"/>
          <w:szCs w:val="30"/>
          <w:lang w:val="en-US" w:eastAsia="zh-CN"/>
        </w:rPr>
        <w:t>0</w:t>
      </w:r>
      <w:r>
        <w:rPr>
          <w:rFonts w:hint="eastAsia" w:ascii="仿宋_GB2312" w:eastAsia="仿宋_GB2312"/>
          <w:sz w:val="30"/>
          <w:szCs w:val="30"/>
        </w:rPr>
        <w:t>%；公务用车购置及运行维护费支出</w:t>
      </w:r>
      <w:r>
        <w:rPr>
          <w:rFonts w:hint="eastAsia" w:ascii="仿宋_GB2312" w:eastAsia="仿宋_GB2312"/>
          <w:sz w:val="30"/>
          <w:szCs w:val="30"/>
          <w:lang w:val="en-US" w:eastAsia="zh-CN"/>
        </w:rPr>
        <w:t>4.07</w:t>
      </w:r>
      <w:r>
        <w:rPr>
          <w:rFonts w:hint="eastAsia" w:ascii="仿宋_GB2312" w:eastAsia="仿宋_GB2312"/>
          <w:sz w:val="30"/>
          <w:szCs w:val="30"/>
        </w:rPr>
        <w:t>万元，占</w:t>
      </w:r>
      <w:r>
        <w:rPr>
          <w:rFonts w:hint="eastAsia" w:ascii="仿宋_GB2312" w:eastAsia="仿宋_GB2312"/>
          <w:sz w:val="30"/>
          <w:szCs w:val="30"/>
          <w:lang w:val="en-US" w:eastAsia="zh-CN"/>
        </w:rPr>
        <w:t>52.65</w:t>
      </w:r>
      <w:r>
        <w:rPr>
          <w:rFonts w:hint="eastAsia" w:ascii="仿宋_GB2312" w:eastAsia="仿宋_GB2312"/>
          <w:sz w:val="30"/>
          <w:szCs w:val="30"/>
        </w:rPr>
        <w:t>%；公务接待费支出</w:t>
      </w:r>
      <w:r>
        <w:rPr>
          <w:rFonts w:hint="eastAsia" w:ascii="仿宋_GB2312" w:eastAsia="仿宋_GB2312"/>
          <w:sz w:val="30"/>
          <w:szCs w:val="30"/>
          <w:lang w:val="en-US" w:eastAsia="zh-CN"/>
        </w:rPr>
        <w:t>3.66</w:t>
      </w:r>
      <w:r>
        <w:rPr>
          <w:rFonts w:hint="eastAsia" w:ascii="仿宋_GB2312" w:eastAsia="仿宋_GB2312"/>
          <w:sz w:val="30"/>
          <w:szCs w:val="30"/>
        </w:rPr>
        <w:t>万元，占</w:t>
      </w:r>
      <w:r>
        <w:rPr>
          <w:rFonts w:hint="eastAsia" w:ascii="仿宋_GB2312" w:eastAsia="仿宋_GB2312"/>
          <w:sz w:val="30"/>
          <w:szCs w:val="30"/>
          <w:lang w:val="en-US" w:eastAsia="zh-CN"/>
        </w:rPr>
        <w:t>47.35</w:t>
      </w:r>
      <w:r>
        <w:rPr>
          <w:rFonts w:hint="eastAsia" w:ascii="仿宋_GB2312" w:eastAsia="仿宋_GB2312"/>
          <w:sz w:val="30"/>
          <w:szCs w:val="30"/>
        </w:rPr>
        <w:t>%。具体情况如下：</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1.因公出国（境）费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万元，共安排因公出国（境）团组</w:t>
      </w:r>
      <w:r>
        <w:rPr>
          <w:rFonts w:hint="eastAsia" w:ascii="仿宋_GB2312" w:eastAsia="仿宋_GB2312"/>
          <w:sz w:val="30"/>
          <w:szCs w:val="30"/>
          <w:lang w:val="en-US" w:eastAsia="zh-CN"/>
        </w:rPr>
        <w:t>0</w:t>
      </w:r>
      <w:r>
        <w:rPr>
          <w:rFonts w:hint="eastAsia" w:ascii="仿宋_GB2312" w:eastAsia="仿宋_GB2312"/>
          <w:sz w:val="30"/>
          <w:szCs w:val="30"/>
        </w:rPr>
        <w:t>个，累计</w:t>
      </w:r>
      <w:r>
        <w:rPr>
          <w:rFonts w:hint="eastAsia" w:ascii="仿宋_GB2312" w:eastAsia="仿宋_GB2312"/>
          <w:sz w:val="30"/>
          <w:szCs w:val="30"/>
          <w:lang w:val="en-US" w:eastAsia="zh-CN"/>
        </w:rPr>
        <w:t>0</w:t>
      </w:r>
      <w:r>
        <w:rPr>
          <w:rFonts w:hint="eastAsia" w:ascii="仿宋_GB2312" w:eastAsia="仿宋_GB2312"/>
          <w:sz w:val="30"/>
          <w:szCs w:val="30"/>
        </w:rPr>
        <w:t>人次。开展内容包括：</w:t>
      </w:r>
      <w:r>
        <w:rPr>
          <w:rFonts w:hint="eastAsia" w:ascii="仿宋_GB2312" w:eastAsia="仿宋_GB2312"/>
          <w:sz w:val="30"/>
          <w:szCs w:val="30"/>
          <w:lang w:val="en-US" w:eastAsia="zh-CN"/>
        </w:rPr>
        <w:t>2018年度</w:t>
      </w:r>
      <w:r>
        <w:rPr>
          <w:rFonts w:hint="eastAsia" w:ascii="仿宋_GB2312" w:eastAsia="仿宋_GB2312"/>
          <w:sz w:val="30"/>
          <w:szCs w:val="30"/>
          <w:lang w:eastAsia="zh-CN"/>
        </w:rPr>
        <w:t>无因公</w:t>
      </w:r>
      <w:r>
        <w:rPr>
          <w:rFonts w:hint="eastAsia" w:ascii="仿宋_GB2312" w:eastAsia="仿宋_GB2312"/>
          <w:sz w:val="30"/>
          <w:szCs w:val="30"/>
        </w:rPr>
        <w:t>出国（境）</w:t>
      </w:r>
      <w:r>
        <w:rPr>
          <w:rFonts w:hint="eastAsia" w:ascii="仿宋_GB2312" w:eastAsia="仿宋_GB2312"/>
          <w:sz w:val="30"/>
          <w:szCs w:val="30"/>
          <w:lang w:eastAsia="zh-CN"/>
        </w:rPr>
        <w:t>情况</w:t>
      </w:r>
      <w:r>
        <w:rPr>
          <w:rFonts w:hint="eastAsia" w:ascii="仿宋_GB2312" w:eastAsia="仿宋_GB2312"/>
          <w:sz w:val="30"/>
          <w:szCs w:val="30"/>
        </w:rPr>
        <w:t>。</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2. 公务用车购置及运行维护费</w:t>
      </w:r>
      <w:r>
        <w:rPr>
          <w:rFonts w:hint="eastAsia" w:ascii="仿宋_GB2312" w:eastAsia="仿宋_GB2312"/>
          <w:sz w:val="30"/>
          <w:szCs w:val="30"/>
        </w:rPr>
        <w:t>支出</w:t>
      </w:r>
      <w:r>
        <w:rPr>
          <w:rFonts w:hint="eastAsia" w:ascii="仿宋_GB2312" w:eastAsia="仿宋_GB2312"/>
          <w:sz w:val="30"/>
          <w:szCs w:val="30"/>
          <w:lang w:val="en-US" w:eastAsia="zh-CN"/>
        </w:rPr>
        <w:t>4.07</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公务用车购置</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万元，购置车辆</w:t>
      </w:r>
      <w:r>
        <w:rPr>
          <w:rFonts w:hint="eastAsia" w:ascii="仿宋_GB2312" w:eastAsia="仿宋_GB2312"/>
          <w:sz w:val="30"/>
          <w:szCs w:val="30"/>
          <w:lang w:val="en-US" w:eastAsia="zh-CN"/>
        </w:rPr>
        <w:t>0</w:t>
      </w:r>
      <w:r>
        <w:rPr>
          <w:rFonts w:hint="eastAsia" w:ascii="仿宋_GB2312" w:eastAsia="仿宋_GB2312"/>
          <w:sz w:val="30"/>
          <w:szCs w:val="30"/>
        </w:rPr>
        <w:t>辆。</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公务用车运行维护</w:t>
      </w:r>
      <w:r>
        <w:rPr>
          <w:rFonts w:hint="eastAsia" w:ascii="仿宋_GB2312" w:eastAsia="仿宋_GB2312"/>
          <w:sz w:val="30"/>
          <w:szCs w:val="30"/>
        </w:rPr>
        <w:t>支出</w:t>
      </w:r>
      <w:r>
        <w:rPr>
          <w:rFonts w:hint="eastAsia" w:ascii="仿宋_GB2312" w:eastAsia="仿宋_GB2312"/>
          <w:sz w:val="30"/>
          <w:szCs w:val="30"/>
          <w:lang w:val="en-US" w:eastAsia="zh-CN"/>
        </w:rPr>
        <w:t>4.07</w:t>
      </w:r>
      <w:r>
        <w:rPr>
          <w:rFonts w:hint="eastAsia" w:ascii="仿宋_GB2312" w:eastAsia="仿宋_GB2312"/>
          <w:sz w:val="30"/>
          <w:szCs w:val="30"/>
        </w:rPr>
        <w:t>万元，</w:t>
      </w:r>
      <w:r>
        <w:rPr>
          <w:rFonts w:hint="eastAsia" w:ascii="仿宋_GB2312" w:eastAsia="仿宋_GB2312"/>
          <w:sz w:val="30"/>
          <w:szCs w:val="30"/>
          <w:lang w:eastAsia="zh-CN"/>
        </w:rPr>
        <w:t>截止</w:t>
      </w:r>
      <w:r>
        <w:rPr>
          <w:rFonts w:hint="eastAsia" w:ascii="仿宋_GB2312" w:eastAsia="仿宋_GB2312"/>
          <w:sz w:val="30"/>
          <w:szCs w:val="30"/>
          <w:lang w:val="en-US" w:eastAsia="zh-CN"/>
        </w:rPr>
        <w:t>2018年年末</w:t>
      </w:r>
      <w:r>
        <w:rPr>
          <w:rFonts w:hint="eastAsia" w:ascii="仿宋_GB2312" w:eastAsia="仿宋_GB2312"/>
          <w:sz w:val="30"/>
          <w:szCs w:val="30"/>
        </w:rPr>
        <w:t>开支一般公共预算财政拨款的公务用车保有量为</w:t>
      </w:r>
      <w:r>
        <w:rPr>
          <w:rFonts w:hint="eastAsia" w:ascii="仿宋_GB2312" w:eastAsia="仿宋_GB2312"/>
          <w:sz w:val="30"/>
          <w:szCs w:val="30"/>
          <w:lang w:val="en-US" w:eastAsia="zh-CN"/>
        </w:rPr>
        <w:t>4</w:t>
      </w:r>
      <w:r>
        <w:rPr>
          <w:rFonts w:hint="eastAsia" w:ascii="仿宋_GB2312" w:eastAsia="仿宋_GB2312"/>
          <w:sz w:val="30"/>
          <w:szCs w:val="30"/>
        </w:rPr>
        <w:t>辆。主要用于</w:t>
      </w:r>
      <w:r>
        <w:rPr>
          <w:rFonts w:hint="eastAsia" w:ascii="仿宋_GB2312" w:eastAsia="仿宋_GB2312"/>
          <w:sz w:val="30"/>
          <w:szCs w:val="30"/>
          <w:lang w:eastAsia="zh-CN"/>
        </w:rPr>
        <w:t>全州水务工作</w:t>
      </w:r>
      <w:r>
        <w:rPr>
          <w:rFonts w:hint="eastAsia" w:ascii="仿宋_GB2312" w:eastAsia="仿宋_GB2312"/>
          <w:sz w:val="30"/>
          <w:szCs w:val="30"/>
        </w:rPr>
        <w:t>所需车辆燃料费、维修费、过路过桥费、保险费等。</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3.公务接待费</w:t>
      </w:r>
      <w:r>
        <w:rPr>
          <w:rFonts w:hint="eastAsia" w:ascii="仿宋_GB2312" w:eastAsia="仿宋_GB2312"/>
          <w:sz w:val="30"/>
          <w:szCs w:val="30"/>
        </w:rPr>
        <w:t>支出</w:t>
      </w:r>
      <w:r>
        <w:rPr>
          <w:rFonts w:hint="eastAsia" w:ascii="仿宋_GB2312" w:eastAsia="仿宋_GB2312"/>
          <w:sz w:val="30"/>
          <w:szCs w:val="30"/>
          <w:lang w:val="en-US" w:eastAsia="zh-CN"/>
        </w:rPr>
        <w:t>3.66</w:t>
      </w:r>
      <w:r>
        <w:rPr>
          <w:rFonts w:hint="eastAsia" w:ascii="仿宋_GB2312" w:eastAsia="仿宋_GB2312"/>
          <w:sz w:val="30"/>
          <w:szCs w:val="30"/>
        </w:rPr>
        <w:t>万元。其中：</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国内接待费</w:t>
      </w:r>
      <w:r>
        <w:rPr>
          <w:rFonts w:hint="eastAsia" w:ascii="仿宋_GB2312" w:eastAsia="仿宋_GB2312"/>
          <w:sz w:val="30"/>
          <w:szCs w:val="30"/>
        </w:rPr>
        <w:t>支出</w:t>
      </w:r>
      <w:r>
        <w:rPr>
          <w:rFonts w:hint="eastAsia" w:ascii="仿宋_GB2312" w:eastAsia="仿宋_GB2312"/>
          <w:sz w:val="30"/>
          <w:szCs w:val="30"/>
          <w:lang w:val="en-US" w:eastAsia="zh-CN"/>
        </w:rPr>
        <w:t>3.66</w:t>
      </w:r>
      <w:r>
        <w:rPr>
          <w:rFonts w:hint="eastAsia" w:ascii="仿宋_GB2312" w:eastAsia="仿宋_GB2312"/>
          <w:sz w:val="30"/>
          <w:szCs w:val="30"/>
        </w:rPr>
        <w:t>万元（其中：外事接待费支出</w:t>
      </w:r>
      <w:r>
        <w:rPr>
          <w:rFonts w:hint="eastAsia" w:ascii="仿宋_GB2312" w:eastAsia="仿宋_GB2312"/>
          <w:sz w:val="30"/>
          <w:szCs w:val="30"/>
          <w:lang w:val="en-US" w:eastAsia="zh-CN"/>
        </w:rPr>
        <w:t>0</w:t>
      </w:r>
      <w:r>
        <w:rPr>
          <w:rFonts w:hint="eastAsia" w:ascii="仿宋_GB2312" w:eastAsia="仿宋_GB2312"/>
          <w:sz w:val="30"/>
          <w:szCs w:val="30"/>
        </w:rPr>
        <w:t>万元），共安排国内公务接待</w:t>
      </w:r>
      <w:r>
        <w:rPr>
          <w:rFonts w:hint="eastAsia" w:ascii="仿宋_GB2312" w:eastAsia="仿宋_GB2312"/>
          <w:sz w:val="30"/>
          <w:szCs w:val="30"/>
          <w:lang w:val="en-US" w:eastAsia="zh-CN"/>
        </w:rPr>
        <w:t>43</w:t>
      </w:r>
      <w:r>
        <w:rPr>
          <w:rFonts w:hint="eastAsia" w:ascii="仿宋_GB2312" w:eastAsia="仿宋_GB2312"/>
          <w:sz w:val="30"/>
          <w:szCs w:val="30"/>
        </w:rPr>
        <w:t>批次（其中：外事接待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189</w:t>
      </w:r>
      <w:r>
        <w:rPr>
          <w:rFonts w:hint="eastAsia" w:ascii="仿宋_GB2312" w:eastAsia="仿宋_GB2312"/>
          <w:sz w:val="30"/>
          <w:szCs w:val="30"/>
        </w:rPr>
        <w:t>人（其中：外事接待人次</w:t>
      </w:r>
      <w:r>
        <w:rPr>
          <w:rFonts w:hint="eastAsia" w:ascii="仿宋_GB2312" w:eastAsia="仿宋_GB2312"/>
          <w:sz w:val="30"/>
          <w:szCs w:val="30"/>
          <w:lang w:val="en-US" w:eastAsia="zh-CN"/>
        </w:rPr>
        <w:t>0</w:t>
      </w:r>
      <w:r>
        <w:rPr>
          <w:rFonts w:hint="eastAsia" w:ascii="仿宋_GB2312" w:eastAsia="仿宋_GB2312"/>
          <w:sz w:val="30"/>
          <w:szCs w:val="30"/>
        </w:rPr>
        <w:t>人）。主要用于</w:t>
      </w:r>
      <w:r>
        <w:rPr>
          <w:rFonts w:hint="eastAsia" w:ascii="仿宋_GB2312" w:eastAsia="仿宋_GB2312"/>
          <w:sz w:val="30"/>
          <w:szCs w:val="30"/>
          <w:lang w:eastAsia="zh-CN"/>
        </w:rPr>
        <w:t>全州水务工作</w:t>
      </w:r>
      <w:r>
        <w:rPr>
          <w:rFonts w:hint="eastAsia" w:ascii="仿宋_GB2312" w:eastAsia="仿宋_GB2312"/>
          <w:sz w:val="30"/>
          <w:szCs w:val="30"/>
        </w:rPr>
        <w:t>发生的接待支出。</w:t>
      </w:r>
    </w:p>
    <w:p>
      <w:pPr>
        <w:widowControl/>
        <w:snapToGrid w:val="0"/>
        <w:spacing w:before="100" w:after="100" w:line="360" w:lineRule="auto"/>
        <w:ind w:firstLine="602" w:firstLineChars="200"/>
        <w:jc w:val="left"/>
        <w:rPr>
          <w:rFonts w:hint="eastAsia" w:ascii="仿宋_GB2312" w:eastAsia="仿宋_GB2312"/>
          <w:sz w:val="30"/>
          <w:szCs w:val="30"/>
        </w:rPr>
      </w:pPr>
      <w:r>
        <w:rPr>
          <w:rFonts w:hint="eastAsia" w:ascii="仿宋_GB2312" w:eastAsia="仿宋_GB2312"/>
          <w:b/>
          <w:sz w:val="30"/>
          <w:szCs w:val="30"/>
        </w:rPr>
        <w:t>国（境）外接待费</w:t>
      </w:r>
      <w:r>
        <w:rPr>
          <w:rFonts w:hint="eastAsia" w:ascii="仿宋_GB2312" w:eastAsia="仿宋_GB2312"/>
          <w:sz w:val="30"/>
          <w:szCs w:val="30"/>
        </w:rPr>
        <w:t>支出</w:t>
      </w:r>
      <w:r>
        <w:rPr>
          <w:rFonts w:hint="eastAsia" w:ascii="仿宋_GB2312" w:eastAsia="仿宋_GB2312"/>
          <w:sz w:val="30"/>
          <w:szCs w:val="30"/>
          <w:lang w:val="en-US" w:eastAsia="zh-CN"/>
        </w:rPr>
        <w:t>0</w:t>
      </w:r>
      <w:r>
        <w:rPr>
          <w:rFonts w:hint="eastAsia" w:ascii="仿宋_GB2312" w:eastAsia="仿宋_GB2312"/>
          <w:sz w:val="30"/>
          <w:szCs w:val="30"/>
        </w:rPr>
        <w:t>万元，共安排国（境）外公务接待</w:t>
      </w:r>
      <w:r>
        <w:rPr>
          <w:rFonts w:hint="eastAsia" w:ascii="仿宋_GB2312" w:eastAsia="仿宋_GB2312"/>
          <w:sz w:val="30"/>
          <w:szCs w:val="30"/>
          <w:lang w:val="en-US" w:eastAsia="zh-CN"/>
        </w:rPr>
        <w:t>0</w:t>
      </w:r>
      <w:r>
        <w:rPr>
          <w:rFonts w:hint="eastAsia" w:ascii="仿宋_GB2312" w:eastAsia="仿宋_GB2312"/>
          <w:sz w:val="30"/>
          <w:szCs w:val="30"/>
        </w:rPr>
        <w:t>批次，接待人次</w:t>
      </w:r>
      <w:r>
        <w:rPr>
          <w:rFonts w:hint="eastAsia" w:ascii="仿宋_GB2312" w:eastAsia="仿宋_GB2312"/>
          <w:sz w:val="30"/>
          <w:szCs w:val="30"/>
          <w:lang w:val="en-US" w:eastAsia="zh-CN"/>
        </w:rPr>
        <w:t>0</w:t>
      </w:r>
      <w:r>
        <w:rPr>
          <w:rFonts w:hint="eastAsia" w:ascii="仿宋_GB2312" w:eastAsia="仿宋_GB2312"/>
          <w:sz w:val="30"/>
          <w:szCs w:val="30"/>
        </w:rPr>
        <w:t>人。</w:t>
      </w:r>
    </w:p>
    <w:p>
      <w:pPr>
        <w:widowControl/>
        <w:snapToGrid w:val="0"/>
        <w:spacing w:before="100" w:after="100" w:line="360" w:lineRule="auto"/>
        <w:ind w:firstLine="640" w:firstLineChars="200"/>
        <w:jc w:val="left"/>
        <w:rPr>
          <w:rFonts w:hint="eastAsia" w:ascii="仿宋_GB2312" w:eastAsia="仿宋_GB2312"/>
          <w:sz w:val="32"/>
          <w:szCs w:val="32"/>
        </w:rPr>
      </w:pPr>
      <w:r>
        <w:rPr>
          <w:rFonts w:hint="eastAsia" w:ascii="黑体" w:hAnsi="黑体" w:eastAsia="黑体" w:cs="方正小标宋简体"/>
          <w:sz w:val="32"/>
          <w:szCs w:val="32"/>
        </w:rPr>
        <w:t xml:space="preserve">第四部分  </w:t>
      </w:r>
      <w:r>
        <w:rPr>
          <w:rFonts w:hint="eastAsia" w:ascii="黑体" w:hAnsi="黑体" w:eastAsia="黑体"/>
          <w:sz w:val="32"/>
          <w:szCs w:val="32"/>
        </w:rPr>
        <w:t>其他重要事项及相关口径情况说明</w:t>
      </w:r>
    </w:p>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rPr>
        <w:t>一</w:t>
      </w:r>
      <w:r>
        <w:rPr>
          <w:rFonts w:hint="eastAsia" w:ascii="黑体" w:hAnsi="黑体" w:eastAsia="黑体" w:cs="黑体"/>
          <w:sz w:val="30"/>
          <w:szCs w:val="30"/>
          <w:lang w:eastAsia="zh-CN"/>
        </w:rPr>
        <w:t>、</w:t>
      </w:r>
      <w:r>
        <w:rPr>
          <w:rFonts w:hint="eastAsia" w:ascii="黑体" w:hAnsi="黑体" w:eastAsia="黑体" w:cs="黑体"/>
          <w:sz w:val="30"/>
          <w:szCs w:val="30"/>
        </w:rPr>
        <w:t>机关运行经费支出情况</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迪庆州水务局</w:t>
      </w:r>
      <w:r>
        <w:rPr>
          <w:rFonts w:hint="eastAsia" w:ascii="仿宋_GB2312" w:hAnsi="黑体" w:eastAsia="仿宋_GB2312" w:cs="方正小标宋简体"/>
          <w:sz w:val="30"/>
          <w:szCs w:val="30"/>
          <w:lang w:val="en-US" w:eastAsia="zh-CN"/>
        </w:rPr>
        <w:t>2018</w:t>
      </w:r>
      <w:r>
        <w:rPr>
          <w:rFonts w:hint="eastAsia" w:ascii="仿宋_GB2312" w:hAnsi="黑体" w:eastAsia="仿宋_GB2312" w:cs="方正小标宋简体"/>
          <w:sz w:val="30"/>
          <w:szCs w:val="30"/>
        </w:rPr>
        <w:t>年机关运行经费支出</w:t>
      </w:r>
      <w:r>
        <w:rPr>
          <w:rFonts w:hint="eastAsia" w:ascii="仿宋_GB2312" w:hAnsi="黑体" w:eastAsia="仿宋_GB2312" w:cs="方正小标宋简体"/>
          <w:sz w:val="30"/>
          <w:szCs w:val="30"/>
          <w:lang w:val="en-US" w:eastAsia="zh-CN"/>
        </w:rPr>
        <w:t>55.41</w:t>
      </w:r>
      <w:r>
        <w:rPr>
          <w:rFonts w:hint="eastAsia" w:ascii="仿宋_GB2312" w:hAnsi="黑体" w:eastAsia="仿宋_GB2312" w:cs="方正小标宋简体"/>
          <w:sz w:val="30"/>
          <w:szCs w:val="30"/>
        </w:rPr>
        <w:t>万元，与上年对比</w:t>
      </w:r>
      <w:r>
        <w:rPr>
          <w:rFonts w:hint="eastAsia" w:ascii="仿宋_GB2312" w:hAnsi="黑体" w:eastAsia="仿宋_GB2312" w:cs="方正小标宋简体"/>
          <w:sz w:val="30"/>
          <w:szCs w:val="30"/>
          <w:lang w:eastAsia="zh-CN"/>
        </w:rPr>
        <w:t>增加了</w:t>
      </w:r>
      <w:r>
        <w:rPr>
          <w:rFonts w:hint="eastAsia" w:ascii="仿宋_GB2312" w:hAnsi="黑体" w:eastAsia="仿宋_GB2312" w:cs="方正小标宋简体"/>
          <w:sz w:val="30"/>
          <w:szCs w:val="30"/>
          <w:lang w:val="en-US" w:eastAsia="zh-CN"/>
        </w:rPr>
        <w:t>19.96万元</w:t>
      </w:r>
      <w:r>
        <w:rPr>
          <w:rFonts w:hint="eastAsia" w:ascii="仿宋_GB2312" w:hAnsi="黑体" w:eastAsia="仿宋_GB2312" w:cs="方正小标宋简体"/>
          <w:sz w:val="30"/>
          <w:szCs w:val="30"/>
        </w:rPr>
        <w:t>,主要原因</w:t>
      </w:r>
      <w:r>
        <w:rPr>
          <w:rFonts w:hint="eastAsia" w:ascii="仿宋_GB2312" w:hAnsi="黑体" w:eastAsia="仿宋_GB2312" w:cs="方正小标宋简体"/>
          <w:sz w:val="30"/>
          <w:szCs w:val="30"/>
          <w:lang w:eastAsia="zh-CN"/>
        </w:rPr>
        <w:t>是扶贫工作下乡等较多</w:t>
      </w:r>
      <w:r>
        <w:rPr>
          <w:rFonts w:hint="eastAsia" w:ascii="仿宋_GB2312" w:hAnsi="黑体" w:eastAsia="仿宋_GB2312" w:cs="方正小标宋简体"/>
          <w:sz w:val="30"/>
          <w:szCs w:val="30"/>
        </w:rPr>
        <w:t>。部门机关运行经费主要用于</w:t>
      </w:r>
      <w:r>
        <w:rPr>
          <w:rFonts w:hint="eastAsia" w:ascii="仿宋_GB2312" w:hAnsi="黑体" w:eastAsia="仿宋_GB2312" w:cs="方正小标宋简体"/>
          <w:sz w:val="30"/>
          <w:szCs w:val="30"/>
          <w:lang w:eastAsia="zh-CN"/>
        </w:rPr>
        <w:t>办公经费、公务出差等开支</w:t>
      </w:r>
      <w:r>
        <w:rPr>
          <w:rFonts w:hint="eastAsia" w:ascii="仿宋_GB2312" w:hAnsi="黑体" w:eastAsia="仿宋_GB2312" w:cs="方正小标宋简体"/>
          <w:sz w:val="30"/>
          <w:szCs w:val="30"/>
        </w:rPr>
        <w:t>。</w:t>
      </w:r>
    </w:p>
    <w:p>
      <w:pPr>
        <w:widowControl/>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lang w:eastAsia="zh-CN"/>
        </w:rPr>
        <w:t>二、</w:t>
      </w:r>
      <w:r>
        <w:rPr>
          <w:rFonts w:hint="eastAsia" w:ascii="黑体" w:hAnsi="黑体" w:eastAsia="黑体" w:cs="黑体"/>
          <w:color w:val="000000"/>
          <w:kern w:val="0"/>
          <w:sz w:val="30"/>
          <w:szCs w:val="30"/>
        </w:rPr>
        <w:t>国有资产占用情况</w:t>
      </w:r>
    </w:p>
    <w:p>
      <w:pPr>
        <w:widowControl/>
        <w:ind w:firstLine="600" w:firstLineChars="200"/>
        <w:rPr>
          <w:rFonts w:ascii="宋体" w:hAnsi="宋体" w:cs="宋体"/>
          <w:color w:val="000000"/>
          <w:kern w:val="0"/>
          <w:sz w:val="30"/>
          <w:szCs w:val="30"/>
        </w:rPr>
      </w:pPr>
      <w:r>
        <w:rPr>
          <w:rFonts w:hint="eastAsia" w:ascii="仿宋_GB2312" w:hAnsi="黑体" w:eastAsia="仿宋_GB2312" w:cs="方正小标宋简体"/>
          <w:color w:val="000000"/>
          <w:kern w:val="0"/>
          <w:sz w:val="30"/>
          <w:szCs w:val="30"/>
        </w:rPr>
        <w:t>截至</w:t>
      </w:r>
      <w:r>
        <w:rPr>
          <w:rFonts w:hint="eastAsia" w:ascii="仿宋_GB2312" w:hAnsi="黑体" w:eastAsia="仿宋_GB2312" w:cs="方正小标宋简体"/>
          <w:color w:val="000000"/>
          <w:kern w:val="0"/>
          <w:sz w:val="30"/>
          <w:szCs w:val="30"/>
          <w:lang w:val="en-US" w:eastAsia="zh-CN"/>
        </w:rPr>
        <w:t>2018</w:t>
      </w:r>
      <w:r>
        <w:rPr>
          <w:rFonts w:hint="eastAsia" w:ascii="仿宋_GB2312" w:hAnsi="黑体" w:eastAsia="仿宋_GB2312" w:cs="方正小标宋简体"/>
          <w:color w:val="000000"/>
          <w:kern w:val="0"/>
          <w:sz w:val="30"/>
          <w:szCs w:val="30"/>
        </w:rPr>
        <w:t>年</w:t>
      </w:r>
      <w:r>
        <w:rPr>
          <w:rFonts w:hint="eastAsia" w:ascii="仿宋_GB2312" w:hAnsi="黑体" w:eastAsia="仿宋_GB2312" w:cs="方正小标宋简体"/>
          <w:color w:val="000000"/>
          <w:kern w:val="0"/>
          <w:sz w:val="30"/>
          <w:szCs w:val="30"/>
          <w:lang w:val="en-US" w:eastAsia="zh-CN"/>
        </w:rPr>
        <w:t>12</w:t>
      </w:r>
      <w:r>
        <w:rPr>
          <w:rFonts w:hint="eastAsia" w:ascii="仿宋_GB2312" w:hAnsi="黑体" w:eastAsia="仿宋_GB2312" w:cs="方正小标宋简体"/>
          <w:color w:val="000000"/>
          <w:kern w:val="0"/>
          <w:sz w:val="30"/>
          <w:szCs w:val="30"/>
        </w:rPr>
        <w:t>月</w:t>
      </w:r>
      <w:r>
        <w:rPr>
          <w:rFonts w:hint="eastAsia" w:ascii="仿宋_GB2312" w:hAnsi="黑体" w:eastAsia="仿宋_GB2312" w:cs="方正小标宋简体"/>
          <w:color w:val="000000"/>
          <w:kern w:val="0"/>
          <w:sz w:val="30"/>
          <w:szCs w:val="30"/>
          <w:lang w:val="en-US" w:eastAsia="zh-CN"/>
        </w:rPr>
        <w:t>31</w:t>
      </w:r>
      <w:r>
        <w:rPr>
          <w:rFonts w:hint="eastAsia" w:ascii="仿宋_GB2312" w:hAnsi="黑体" w:eastAsia="仿宋_GB2312" w:cs="方正小标宋简体"/>
          <w:color w:val="000000"/>
          <w:kern w:val="0"/>
          <w:sz w:val="30"/>
          <w:szCs w:val="30"/>
        </w:rPr>
        <w:t>日，</w:t>
      </w:r>
      <w:r>
        <w:rPr>
          <w:rFonts w:hint="eastAsia" w:ascii="仿宋_GB2312" w:hAnsi="黑体" w:eastAsia="仿宋_GB2312" w:cs="方正小标宋简体"/>
          <w:color w:val="000000"/>
          <w:kern w:val="0"/>
          <w:sz w:val="30"/>
          <w:szCs w:val="30"/>
          <w:lang w:eastAsia="zh-CN"/>
        </w:rPr>
        <w:t>迪庆州水务局</w:t>
      </w:r>
      <w:r>
        <w:rPr>
          <w:rFonts w:hint="eastAsia" w:ascii="仿宋_GB2312" w:hAnsi="黑体" w:eastAsia="仿宋_GB2312" w:cs="方正小标宋简体"/>
          <w:color w:val="000000"/>
          <w:kern w:val="0"/>
          <w:sz w:val="30"/>
          <w:szCs w:val="30"/>
        </w:rPr>
        <w:t>资产总额</w:t>
      </w:r>
      <w:r>
        <w:rPr>
          <w:rFonts w:hint="eastAsia" w:ascii="仿宋_GB2312" w:hAnsi="黑体" w:eastAsia="仿宋_GB2312" w:cs="方正小标宋简体"/>
          <w:color w:val="000000"/>
          <w:kern w:val="0"/>
          <w:sz w:val="30"/>
          <w:szCs w:val="30"/>
          <w:lang w:val="en-US" w:eastAsia="zh-CN"/>
        </w:rPr>
        <w:t>2012.21</w:t>
      </w:r>
      <w:r>
        <w:rPr>
          <w:rFonts w:hint="eastAsia" w:ascii="仿宋_GB2312" w:hAnsi="黑体" w:eastAsia="仿宋_GB2312" w:cs="方正小标宋简体"/>
          <w:color w:val="000000"/>
          <w:kern w:val="0"/>
          <w:sz w:val="30"/>
          <w:szCs w:val="30"/>
        </w:rPr>
        <w:t>万元，其中，流动资产</w:t>
      </w:r>
      <w:r>
        <w:rPr>
          <w:rFonts w:hint="eastAsia" w:ascii="仿宋_GB2312" w:hAnsi="黑体" w:eastAsia="仿宋_GB2312" w:cs="方正小标宋简体"/>
          <w:color w:val="000000"/>
          <w:kern w:val="0"/>
          <w:sz w:val="30"/>
          <w:szCs w:val="30"/>
          <w:lang w:val="en-US" w:eastAsia="zh-CN"/>
        </w:rPr>
        <w:t>1141.77</w:t>
      </w:r>
      <w:r>
        <w:rPr>
          <w:rFonts w:hint="eastAsia" w:ascii="仿宋_GB2312" w:hAnsi="黑体" w:eastAsia="仿宋_GB2312" w:cs="方正小标宋简体"/>
          <w:color w:val="000000"/>
          <w:kern w:val="0"/>
          <w:sz w:val="30"/>
          <w:szCs w:val="30"/>
        </w:rPr>
        <w:t>万元，固定资产</w:t>
      </w:r>
      <w:r>
        <w:rPr>
          <w:rFonts w:hint="eastAsia" w:ascii="仿宋_GB2312" w:hAnsi="黑体" w:eastAsia="仿宋_GB2312" w:cs="方正小标宋简体"/>
          <w:color w:val="000000"/>
          <w:kern w:val="0"/>
          <w:sz w:val="30"/>
          <w:szCs w:val="30"/>
          <w:lang w:val="en-US" w:eastAsia="zh-CN"/>
        </w:rPr>
        <w:t>840.87</w:t>
      </w:r>
      <w:r>
        <w:rPr>
          <w:rFonts w:hint="eastAsia" w:ascii="仿宋_GB2312" w:hAnsi="黑体" w:eastAsia="仿宋_GB2312" w:cs="方正小标宋简体"/>
          <w:color w:val="000000"/>
          <w:kern w:val="0"/>
          <w:sz w:val="30"/>
          <w:szCs w:val="30"/>
        </w:rPr>
        <w:t>万元，对外投资及有价证券</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万元，在建工程</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万元，无形资产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万元，其他资产</w:t>
      </w:r>
      <w:r>
        <w:rPr>
          <w:rFonts w:hint="eastAsia" w:ascii="仿宋_GB2312" w:hAnsi="黑体" w:eastAsia="仿宋_GB2312" w:cs="方正小标宋简体"/>
          <w:color w:val="000000"/>
          <w:kern w:val="0"/>
          <w:sz w:val="30"/>
          <w:szCs w:val="30"/>
          <w:lang w:val="en-US" w:eastAsia="zh-CN"/>
        </w:rPr>
        <w:t>29.55</w:t>
      </w:r>
      <w:r>
        <w:rPr>
          <w:rFonts w:hint="eastAsia" w:ascii="仿宋_GB2312" w:hAnsi="黑体" w:eastAsia="仿宋_GB2312" w:cs="方正小标宋简体"/>
          <w:color w:val="000000"/>
          <w:kern w:val="0"/>
          <w:sz w:val="30"/>
          <w:szCs w:val="30"/>
        </w:rPr>
        <w:t>万元（具体内容详见附表）。与上年相比，本年资产总额减少</w:t>
      </w:r>
      <w:r>
        <w:rPr>
          <w:rFonts w:hint="eastAsia" w:ascii="仿宋_GB2312" w:hAnsi="黑体" w:eastAsia="仿宋_GB2312" w:cs="方正小标宋简体"/>
          <w:color w:val="000000"/>
          <w:kern w:val="0"/>
          <w:sz w:val="30"/>
          <w:szCs w:val="30"/>
          <w:lang w:val="en-US" w:eastAsia="zh-CN"/>
        </w:rPr>
        <w:t>763.77</w:t>
      </w:r>
      <w:r>
        <w:rPr>
          <w:rFonts w:hint="eastAsia" w:ascii="仿宋_GB2312" w:hAnsi="黑体" w:eastAsia="仿宋_GB2312" w:cs="方正小标宋简体"/>
          <w:color w:val="000000"/>
          <w:kern w:val="0"/>
          <w:sz w:val="30"/>
          <w:szCs w:val="30"/>
        </w:rPr>
        <w:t>万元，其中固定资产</w:t>
      </w:r>
      <w:r>
        <w:rPr>
          <w:rFonts w:hint="eastAsia" w:ascii="仿宋_GB2312" w:hAnsi="黑体" w:eastAsia="仿宋_GB2312" w:cs="方正小标宋简体"/>
          <w:color w:val="000000"/>
          <w:kern w:val="0"/>
          <w:sz w:val="30"/>
          <w:szCs w:val="30"/>
          <w:lang w:eastAsia="zh-CN"/>
        </w:rPr>
        <w:t>增加</w:t>
      </w:r>
      <w:r>
        <w:rPr>
          <w:rFonts w:hint="eastAsia" w:ascii="仿宋_GB2312" w:hAnsi="黑体" w:eastAsia="仿宋_GB2312" w:cs="方正小标宋简体"/>
          <w:color w:val="000000"/>
          <w:kern w:val="0"/>
          <w:sz w:val="30"/>
          <w:szCs w:val="30"/>
          <w:lang w:val="en-US" w:eastAsia="zh-CN"/>
        </w:rPr>
        <w:t>146.31</w:t>
      </w:r>
      <w:r>
        <w:rPr>
          <w:rFonts w:hint="eastAsia" w:ascii="仿宋_GB2312" w:hAnsi="黑体" w:eastAsia="仿宋_GB2312" w:cs="方正小标宋简体"/>
          <w:color w:val="000000"/>
          <w:kern w:val="0"/>
          <w:sz w:val="30"/>
          <w:szCs w:val="30"/>
        </w:rPr>
        <w:t>万元。处置房屋建筑物</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万元；处置车辆</w:t>
      </w:r>
      <w:r>
        <w:rPr>
          <w:rFonts w:hint="eastAsia" w:ascii="仿宋_GB2312" w:hAnsi="黑体" w:eastAsia="仿宋_GB2312" w:cs="方正小标宋简体"/>
          <w:color w:val="000000"/>
          <w:kern w:val="0"/>
          <w:sz w:val="30"/>
          <w:szCs w:val="30"/>
          <w:lang w:val="en-US" w:eastAsia="zh-CN"/>
        </w:rPr>
        <w:t>1</w:t>
      </w:r>
      <w:r>
        <w:rPr>
          <w:rFonts w:hint="eastAsia" w:ascii="仿宋_GB2312" w:hAnsi="黑体" w:eastAsia="仿宋_GB2312" w:cs="方正小标宋简体"/>
          <w:color w:val="000000"/>
          <w:kern w:val="0"/>
          <w:sz w:val="30"/>
          <w:szCs w:val="30"/>
        </w:rPr>
        <w:t>辆，账面原值</w:t>
      </w:r>
      <w:r>
        <w:rPr>
          <w:rFonts w:hint="eastAsia" w:ascii="仿宋_GB2312" w:hAnsi="黑体" w:eastAsia="仿宋_GB2312" w:cs="方正小标宋简体"/>
          <w:color w:val="000000"/>
          <w:kern w:val="0"/>
          <w:sz w:val="30"/>
          <w:szCs w:val="30"/>
          <w:lang w:val="en-US" w:eastAsia="zh-CN"/>
        </w:rPr>
        <w:t>10.1</w:t>
      </w:r>
      <w:r>
        <w:rPr>
          <w:rFonts w:hint="eastAsia" w:ascii="仿宋_GB2312" w:hAnsi="黑体" w:eastAsia="仿宋_GB2312" w:cs="方正小标宋简体"/>
          <w:color w:val="000000"/>
          <w:kern w:val="0"/>
          <w:sz w:val="30"/>
          <w:szCs w:val="30"/>
        </w:rPr>
        <w:t>万元；报废报损资产</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项，账面原值</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万元，实现资产处置收入</w:t>
      </w:r>
      <w:r>
        <w:rPr>
          <w:rFonts w:hint="eastAsia" w:ascii="仿宋_GB2312" w:hAnsi="黑体" w:eastAsia="仿宋_GB2312" w:cs="方正小标宋简体"/>
          <w:color w:val="000000"/>
          <w:kern w:val="0"/>
          <w:sz w:val="30"/>
          <w:szCs w:val="30"/>
          <w:lang w:val="en-US" w:eastAsia="zh-CN"/>
        </w:rPr>
        <w:t>0</w:t>
      </w:r>
      <w:r>
        <w:rPr>
          <w:rFonts w:hint="eastAsia" w:ascii="仿宋_GB2312" w:hAnsi="黑体" w:eastAsia="仿宋_GB2312" w:cs="方正小标宋简体"/>
          <w:color w:val="000000"/>
          <w:kern w:val="0"/>
          <w:sz w:val="30"/>
          <w:szCs w:val="30"/>
        </w:rPr>
        <w:t>万元；出租房屋</w:t>
      </w:r>
      <w:r>
        <w:rPr>
          <w:rFonts w:hint="eastAsia" w:ascii="仿宋_GB2312" w:hAnsi="黑体" w:eastAsia="仿宋_GB2312" w:cs="方正小标宋简体"/>
          <w:color w:val="000000"/>
          <w:kern w:val="0"/>
          <w:sz w:val="30"/>
          <w:szCs w:val="30"/>
          <w:lang w:val="en-US" w:eastAsia="zh-CN"/>
        </w:rPr>
        <w:t>20</w:t>
      </w:r>
      <w:r>
        <w:rPr>
          <w:rFonts w:hint="eastAsia" w:ascii="仿宋_GB2312" w:hAnsi="黑体" w:eastAsia="仿宋_GB2312" w:cs="方正小标宋简体"/>
          <w:color w:val="000000"/>
          <w:kern w:val="0"/>
          <w:sz w:val="30"/>
          <w:szCs w:val="30"/>
        </w:rPr>
        <w:t>平方米，账面原值</w:t>
      </w:r>
      <w:r>
        <w:rPr>
          <w:rFonts w:hint="eastAsia" w:ascii="仿宋_GB2312" w:hAnsi="黑体" w:eastAsia="仿宋_GB2312" w:cs="方正小标宋简体"/>
          <w:color w:val="000000"/>
          <w:kern w:val="0"/>
          <w:sz w:val="30"/>
          <w:szCs w:val="30"/>
          <w:lang w:val="en-US" w:eastAsia="zh-CN"/>
        </w:rPr>
        <w:t>5.21</w:t>
      </w:r>
      <w:r>
        <w:rPr>
          <w:rFonts w:hint="eastAsia" w:ascii="仿宋_GB2312" w:hAnsi="黑体" w:eastAsia="仿宋_GB2312" w:cs="方正小标宋简体"/>
          <w:color w:val="000000"/>
          <w:kern w:val="0"/>
          <w:sz w:val="30"/>
          <w:szCs w:val="30"/>
        </w:rPr>
        <w:t>万元，实现资产使用</w:t>
      </w:r>
      <w:r>
        <w:rPr>
          <w:rFonts w:hint="eastAsia" w:ascii="仿宋_GB2312" w:hAnsi="黑体" w:eastAsia="仿宋_GB2312" w:cs="方正小标宋简体"/>
          <w:color w:val="000000"/>
          <w:kern w:val="0"/>
          <w:sz w:val="30"/>
          <w:szCs w:val="30"/>
          <w:lang w:eastAsia="zh-CN"/>
        </w:rPr>
        <w:t>税后</w:t>
      </w:r>
      <w:r>
        <w:rPr>
          <w:rFonts w:hint="eastAsia" w:ascii="仿宋_GB2312" w:hAnsi="黑体" w:eastAsia="仿宋_GB2312" w:cs="方正小标宋简体"/>
          <w:color w:val="000000"/>
          <w:kern w:val="0"/>
          <w:sz w:val="30"/>
          <w:szCs w:val="30"/>
        </w:rPr>
        <w:t>收入</w:t>
      </w:r>
      <w:r>
        <w:rPr>
          <w:rFonts w:hint="eastAsia" w:ascii="仿宋_GB2312" w:hAnsi="黑体" w:eastAsia="仿宋_GB2312" w:cs="方正小标宋简体"/>
          <w:color w:val="000000"/>
          <w:kern w:val="0"/>
          <w:sz w:val="30"/>
          <w:szCs w:val="30"/>
          <w:lang w:val="en-US" w:eastAsia="zh-CN"/>
        </w:rPr>
        <w:t>1.6</w:t>
      </w:r>
      <w:r>
        <w:rPr>
          <w:rFonts w:hint="eastAsia" w:ascii="仿宋_GB2312" w:hAnsi="黑体" w:eastAsia="仿宋_GB2312" w:cs="方正小标宋简体"/>
          <w:color w:val="000000"/>
          <w:kern w:val="0"/>
          <w:sz w:val="30"/>
          <w:szCs w:val="30"/>
        </w:rPr>
        <w:t>万元</w:t>
      </w:r>
      <w:r>
        <w:rPr>
          <w:rFonts w:hint="eastAsia" w:ascii="仿宋_GB2312" w:hAnsi="黑体" w:eastAsia="仿宋_GB2312" w:cs="方正小标宋简体"/>
          <w:color w:val="000000"/>
          <w:kern w:val="0"/>
          <w:sz w:val="30"/>
          <w:szCs w:val="30"/>
          <w:lang w:eastAsia="zh-CN"/>
        </w:rPr>
        <w:t>，已在上交非税</w:t>
      </w:r>
      <w:r>
        <w:rPr>
          <w:rFonts w:hint="eastAsia" w:ascii="仿宋_GB2312" w:hAnsi="黑体" w:eastAsia="仿宋_GB2312" w:cs="方正小标宋简体"/>
          <w:color w:val="000000"/>
          <w:kern w:val="0"/>
          <w:sz w:val="30"/>
          <w:szCs w:val="30"/>
        </w:rPr>
        <w:t>。</w:t>
      </w:r>
    </w:p>
    <w:tbl>
      <w:tblPr>
        <w:tblStyle w:val="6"/>
        <w:tblpPr w:leftFromText="180" w:rightFromText="180" w:topFromText="100" w:bottomFromText="100" w:vertAnchor="text" w:horzAnchor="page" w:tblpX="534" w:tblpY="490"/>
        <w:tblOverlap w:val="never"/>
        <w:tblW w:w="10770" w:type="dxa"/>
        <w:tblInd w:w="0" w:type="dxa"/>
        <w:tblLayout w:type="fixed"/>
        <w:tblCellMar>
          <w:top w:w="0" w:type="dxa"/>
          <w:left w:w="0" w:type="dxa"/>
          <w:bottom w:w="0" w:type="dxa"/>
          <w:right w:w="0" w:type="dxa"/>
        </w:tblCellMar>
      </w:tblPr>
      <w:tblGrid>
        <w:gridCol w:w="715"/>
        <w:gridCol w:w="546"/>
        <w:gridCol w:w="700"/>
        <w:gridCol w:w="684"/>
        <w:gridCol w:w="474"/>
        <w:gridCol w:w="725"/>
        <w:gridCol w:w="769"/>
        <w:gridCol w:w="67"/>
        <w:gridCol w:w="865"/>
        <w:gridCol w:w="331"/>
        <w:gridCol w:w="643"/>
        <w:gridCol w:w="196"/>
        <w:gridCol w:w="978"/>
        <w:gridCol w:w="979"/>
        <w:gridCol w:w="360"/>
        <w:gridCol w:w="618"/>
        <w:gridCol w:w="360"/>
        <w:gridCol w:w="142"/>
        <w:gridCol w:w="476"/>
        <w:gridCol w:w="142"/>
      </w:tblGrid>
      <w:tr>
        <w:tblPrEx>
          <w:tblCellMar>
            <w:top w:w="0" w:type="dxa"/>
            <w:left w:w="0" w:type="dxa"/>
            <w:bottom w:w="0" w:type="dxa"/>
            <w:right w:w="0" w:type="dxa"/>
          </w:tblCellMar>
        </w:tblPrEx>
        <w:trPr>
          <w:trHeight w:val="495" w:hRule="atLeast"/>
        </w:trPr>
        <w:tc>
          <w:tcPr>
            <w:tcW w:w="10628" w:type="dxa"/>
            <w:gridSpan w:val="19"/>
            <w:tcBorders>
              <w:top w:val="nil"/>
              <w:left w:val="nil"/>
              <w:bottom w:val="nil"/>
              <w:right w:val="nil"/>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仿宋_GB2312" w:hAnsi="方正小标宋_GBK" w:eastAsia="仿宋_GB2312" w:cs="方正小标宋_GBK"/>
                <w:b/>
                <w:color w:val="000000"/>
                <w:kern w:val="0"/>
                <w:sz w:val="30"/>
                <w:szCs w:val="30"/>
                <w:lang w:bidi="ar"/>
              </w:rPr>
              <w:t>国有资产占有使用情况表</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7" w:hRule="atLeast"/>
        </w:trPr>
        <w:tc>
          <w:tcPr>
            <w:tcW w:w="4680" w:type="dxa"/>
            <w:gridSpan w:val="8"/>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textAlignment w:val="center"/>
              <w:rPr>
                <w:rFonts w:ascii="宋体" w:hAnsi="宋体" w:cs="宋体"/>
                <w:color w:val="000000"/>
                <w:kern w:val="0"/>
                <w:sz w:val="24"/>
                <w:szCs w:val="24"/>
              </w:rPr>
            </w:pPr>
            <w:r>
              <w:rPr>
                <w:rFonts w:hint="eastAsia" w:ascii="宋体" w:hAnsi="宋体" w:cs="宋体"/>
                <w:color w:val="000000"/>
                <w:kern w:val="0"/>
                <w:sz w:val="20"/>
                <w:szCs w:val="20"/>
              </w:rPr>
              <w:t> </w:t>
            </w:r>
          </w:p>
        </w:tc>
        <w:tc>
          <w:tcPr>
            <w:tcW w:w="865"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4" w:type="dxa"/>
            <w:gridSpan w:val="2"/>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6"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1956" w:type="dxa"/>
            <w:gridSpan w:val="5"/>
            <w:tcBorders>
              <w:top w:val="nil"/>
              <w:left w:val="nil"/>
              <w:bottom w:val="single" w:color="808080" w:sz="4" w:space="0"/>
              <w:right w:val="nil"/>
            </w:tcBorders>
            <w:shd w:val="clear" w:color="auto" w:fill="FFFFFF"/>
            <w:noWrap w:val="0"/>
            <w:tcMar>
              <w:top w:w="15" w:type="dxa"/>
              <w:left w:w="15" w:type="dxa"/>
              <w:bottom w:w="15" w:type="dxa"/>
              <w:right w:w="15" w:type="dxa"/>
            </w:tcMar>
            <w:vAlign w:val="center"/>
          </w:tcPr>
          <w:p>
            <w:pPr>
              <w:widowControl/>
              <w:jc w:val="right"/>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单位：万元</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15" w:hRule="atLeast"/>
        </w:trPr>
        <w:tc>
          <w:tcPr>
            <w:tcW w:w="7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项目</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行次</w:t>
            </w:r>
          </w:p>
        </w:tc>
        <w:tc>
          <w:tcPr>
            <w:tcW w:w="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资产总额</w:t>
            </w:r>
          </w:p>
        </w:tc>
        <w:tc>
          <w:tcPr>
            <w:tcW w:w="6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流动资产</w:t>
            </w:r>
          </w:p>
        </w:tc>
        <w:tc>
          <w:tcPr>
            <w:tcW w:w="407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固定资产</w:t>
            </w:r>
          </w:p>
        </w:tc>
        <w:tc>
          <w:tcPr>
            <w:tcW w:w="97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对外投资/有价证券</w:t>
            </w:r>
          </w:p>
        </w:tc>
        <w:tc>
          <w:tcPr>
            <w:tcW w:w="9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在建工程</w:t>
            </w:r>
          </w:p>
        </w:tc>
        <w:tc>
          <w:tcPr>
            <w:tcW w:w="978" w:type="dxa"/>
            <w:gridSpan w:val="2"/>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无形资产</w:t>
            </w:r>
          </w:p>
        </w:tc>
        <w:tc>
          <w:tcPr>
            <w:tcW w:w="978" w:type="dxa"/>
            <w:gridSpan w:val="3"/>
            <w:vMerge w:val="restart"/>
            <w:tcBorders>
              <w:top w:val="nil"/>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其他资产</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4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小计</w:t>
            </w:r>
          </w:p>
        </w:tc>
        <w:tc>
          <w:tcPr>
            <w:tcW w:w="7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房屋构筑物</w:t>
            </w:r>
          </w:p>
        </w:tc>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车辆</w:t>
            </w:r>
          </w:p>
        </w:tc>
        <w:tc>
          <w:tcPr>
            <w:tcW w:w="1263"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单价200万以上大型设备</w:t>
            </w:r>
          </w:p>
        </w:tc>
        <w:tc>
          <w:tcPr>
            <w:tcW w:w="8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其他固定资产</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95" w:hRule="atLeast"/>
        </w:trPr>
        <w:tc>
          <w:tcPr>
            <w:tcW w:w="71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2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7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26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83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978"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358"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栏次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 </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2</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3</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4</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5</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6</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7</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8</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9</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10</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11</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563" w:hRule="atLeast"/>
        </w:trPr>
        <w:tc>
          <w:tcPr>
            <w:tcW w:w="7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合计</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0"/>
                <w:szCs w:val="20"/>
                <w:lang w:bidi="ar"/>
              </w:rPr>
              <w:t>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2012.21</w:t>
            </w:r>
            <w:r>
              <w:rPr>
                <w:rFonts w:hint="eastAsia" w:ascii="宋体" w:hAnsi="宋体" w:cs="宋体"/>
                <w:color w:val="000000"/>
                <w:kern w:val="0"/>
                <w:sz w:val="20"/>
                <w:szCs w:val="20"/>
              </w:rPr>
              <w:t> </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1141.77</w:t>
            </w:r>
            <w:r>
              <w:rPr>
                <w:rFonts w:hint="eastAsia" w:ascii="宋体" w:hAnsi="宋体" w:cs="宋体"/>
                <w:color w:val="000000"/>
                <w:kern w:val="0"/>
                <w:sz w:val="20"/>
                <w:szCs w:val="20"/>
              </w:rPr>
              <w:t> </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840.89</w:t>
            </w:r>
            <w:r>
              <w:rPr>
                <w:rFonts w:hint="eastAsia" w:ascii="宋体" w:hAnsi="宋体" w:cs="宋体"/>
                <w:color w:val="000000"/>
                <w:kern w:val="0"/>
                <w:sz w:val="20"/>
                <w:szCs w:val="20"/>
              </w:rPr>
              <w:t> </w:t>
            </w:r>
          </w:p>
        </w:tc>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hint="default" w:ascii="宋体" w:hAnsi="宋体" w:eastAsia="宋体" w:cs="宋体"/>
                <w:color w:val="000000"/>
                <w:kern w:val="0"/>
                <w:sz w:val="24"/>
                <w:szCs w:val="24"/>
                <w:lang w:val="en-US" w:eastAsia="zh-CN"/>
              </w:rPr>
            </w:pPr>
            <w:r>
              <w:rPr>
                <w:rFonts w:hint="eastAsia" w:ascii="宋体" w:hAnsi="宋体" w:cs="宋体"/>
                <w:color w:val="000000"/>
                <w:kern w:val="0"/>
                <w:sz w:val="20"/>
                <w:szCs w:val="20"/>
                <w:lang w:val="en-US" w:eastAsia="zh-CN"/>
              </w:rPr>
              <w:t>453.94</w:t>
            </w:r>
            <w:r>
              <w:rPr>
                <w:rFonts w:hint="eastAsia" w:ascii="宋体" w:hAnsi="宋体" w:cs="宋体"/>
                <w:color w:val="000000"/>
                <w:kern w:val="0"/>
                <w:sz w:val="20"/>
                <w:szCs w:val="20"/>
              </w:rPr>
              <w:t> </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136.05</w:t>
            </w:r>
            <w:r>
              <w:rPr>
                <w:rFonts w:hint="eastAsia" w:ascii="宋体" w:hAnsi="宋体" w:cs="宋体"/>
                <w:color w:val="000000"/>
                <w:kern w:val="0"/>
                <w:sz w:val="20"/>
                <w:szCs w:val="20"/>
              </w:rPr>
              <w:t> </w:t>
            </w:r>
          </w:p>
        </w:tc>
        <w:tc>
          <w:tcPr>
            <w:tcW w:w="126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8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250.9</w:t>
            </w:r>
            <w:r>
              <w:rPr>
                <w:rFonts w:hint="eastAsia" w:ascii="宋体" w:hAnsi="宋体" w:cs="宋体"/>
                <w:color w:val="000000"/>
                <w:kern w:val="0"/>
                <w:sz w:val="20"/>
                <w:szCs w:val="20"/>
              </w:rPr>
              <w:t> </w:t>
            </w:r>
          </w:p>
        </w:tc>
        <w:tc>
          <w:tcPr>
            <w:tcW w:w="97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rPr>
              <w:t> </w:t>
            </w:r>
          </w:p>
        </w:tc>
        <w:tc>
          <w:tcPr>
            <w:tcW w:w="9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right"/>
              <w:rPr>
                <w:rFonts w:ascii="宋体" w:hAnsi="宋体" w:cs="宋体"/>
                <w:color w:val="000000"/>
                <w:kern w:val="0"/>
                <w:sz w:val="24"/>
                <w:szCs w:val="24"/>
              </w:rPr>
            </w:pPr>
            <w:r>
              <w:rPr>
                <w:rFonts w:hint="eastAsia" w:ascii="宋体" w:hAnsi="宋体" w:cs="宋体"/>
                <w:color w:val="000000"/>
                <w:kern w:val="0"/>
                <w:sz w:val="20"/>
                <w:szCs w:val="20"/>
                <w:lang w:val="en-US" w:eastAsia="zh-CN"/>
              </w:rPr>
              <w:t>29.55</w:t>
            </w:r>
            <w:r>
              <w:rPr>
                <w:rFonts w:hint="eastAsia" w:ascii="宋体" w:hAnsi="宋体" w:cs="宋体"/>
                <w:color w:val="000000"/>
                <w:kern w:val="0"/>
                <w:sz w:val="20"/>
                <w:szCs w:val="20"/>
              </w:rPr>
              <w:t> </w:t>
            </w: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gridAfter w:val="2"/>
          <w:wAfter w:w="618" w:type="dxa"/>
          <w:trHeight w:val="259" w:hRule="atLeast"/>
        </w:trPr>
        <w:tc>
          <w:tcPr>
            <w:tcW w:w="8672" w:type="dxa"/>
            <w:gridSpan w:val="14"/>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4"/>
                <w:szCs w:val="24"/>
              </w:rPr>
            </w:pPr>
          </w:p>
        </w:tc>
        <w:tc>
          <w:tcPr>
            <w:tcW w:w="360" w:type="dxa"/>
            <w:tcBorders>
              <w:top w:val="nil"/>
              <w:left w:val="nil"/>
              <w:bottom w:val="nil"/>
              <w:right w:val="nil"/>
            </w:tcBorders>
            <w:noWrap w:val="0"/>
            <w:tcMar>
              <w:top w:w="15" w:type="dxa"/>
              <w:left w:w="15" w:type="dxa"/>
              <w:bottom w:w="15" w:type="dxa"/>
              <w:right w:w="15" w:type="dxa"/>
            </w:tcMar>
            <w:vAlign w:val="bottom"/>
          </w:tcPr>
          <w:p>
            <w:pPr>
              <w:widowControl/>
              <w:rPr>
                <w:rFonts w:ascii="宋体" w:hAnsi="宋体" w:cs="宋体"/>
                <w:color w:val="000000"/>
                <w:kern w:val="0"/>
                <w:sz w:val="20"/>
                <w:lang w:bidi="ar"/>
              </w:rPr>
            </w:pPr>
          </w:p>
        </w:tc>
        <w:tc>
          <w:tcPr>
            <w:tcW w:w="978" w:type="dxa"/>
            <w:gridSpan w:val="2"/>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p>
        </w:tc>
        <w:tc>
          <w:tcPr>
            <w:tcW w:w="142" w:type="dxa"/>
            <w:tcBorders>
              <w:top w:val="nil"/>
              <w:left w:val="nil"/>
              <w:bottom w:val="nil"/>
              <w:right w:val="nil"/>
            </w:tcBorders>
            <w:noWrap w:val="0"/>
            <w:vAlign w:val="center"/>
          </w:tcPr>
          <w:p>
            <w:pPr>
              <w:widowControl/>
              <w:jc w:val="left"/>
              <w:rPr>
                <w:rFonts w:ascii="宋体" w:hAnsi="宋体" w:cs="宋体"/>
                <w:color w:val="000000"/>
                <w:kern w:val="0"/>
                <w:sz w:val="17"/>
                <w:szCs w:val="17"/>
              </w:rPr>
            </w:pPr>
          </w:p>
        </w:tc>
      </w:tr>
      <w:tr>
        <w:tblPrEx>
          <w:tblCellMar>
            <w:top w:w="0" w:type="dxa"/>
            <w:left w:w="0" w:type="dxa"/>
            <w:bottom w:w="0" w:type="dxa"/>
            <w:right w:w="0" w:type="dxa"/>
          </w:tblCellMar>
        </w:tblPrEx>
        <w:trPr>
          <w:trHeight w:val="495" w:hRule="atLeast"/>
        </w:trPr>
        <w:tc>
          <w:tcPr>
            <w:tcW w:w="9650" w:type="dxa"/>
            <w:gridSpan w:val="16"/>
            <w:tcBorders>
              <w:top w:val="nil"/>
              <w:left w:val="nil"/>
              <w:bottom w:val="nil"/>
              <w:right w:val="nil"/>
            </w:tcBorders>
            <w:noWrap w:val="0"/>
            <w:tcMar>
              <w:top w:w="15" w:type="dxa"/>
              <w:left w:w="15" w:type="dxa"/>
              <w:bottom w:w="15" w:type="dxa"/>
              <w:right w:w="15" w:type="dxa"/>
            </w:tcMar>
            <w:vAlign w:val="bottom"/>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填报说明：1.资产总额＝流动资产＋固定资产＋对外投资／有价证券＋在建工程＋无形资产＋其他资产</w:t>
            </w:r>
          </w:p>
          <w:p>
            <w:pPr>
              <w:widowControl/>
              <w:rPr>
                <w:rFonts w:ascii="宋体" w:hAnsi="宋体" w:cs="宋体"/>
                <w:color w:val="000000"/>
                <w:kern w:val="0"/>
                <w:sz w:val="20"/>
                <w:szCs w:val="20"/>
              </w:rPr>
            </w:pPr>
            <w:r>
              <w:rPr>
                <w:rFonts w:hint="eastAsia" w:ascii="宋体" w:hAnsi="宋体" w:cs="宋体"/>
                <w:color w:val="000000"/>
                <w:kern w:val="0"/>
                <w:sz w:val="20"/>
                <w:szCs w:val="20"/>
              </w:rPr>
              <w:t>2.固定资产＝房屋构筑物＋车辆＋单价200万元以上大型设备＋其他固定资产</w:t>
            </w:r>
          </w:p>
        </w:tc>
        <w:tc>
          <w:tcPr>
            <w:tcW w:w="978" w:type="dxa"/>
            <w:gridSpan w:val="3"/>
            <w:tcBorders>
              <w:top w:val="nil"/>
              <w:left w:val="nil"/>
              <w:bottom w:val="nil"/>
              <w:right w:val="nil"/>
            </w:tcBorders>
            <w:noWrap w:val="0"/>
            <w:tcMar>
              <w:top w:w="15" w:type="dxa"/>
              <w:left w:w="15" w:type="dxa"/>
              <w:bottom w:w="15" w:type="dxa"/>
              <w:right w:w="15" w:type="dxa"/>
            </w:tcMar>
            <w:vAlign w:val="bottom"/>
          </w:tcPr>
          <w:p>
            <w:pPr>
              <w:widowControl/>
              <w:jc w:val="left"/>
              <w:rPr>
                <w:rFonts w:ascii="宋体" w:hAnsi="宋体" w:cs="宋体"/>
                <w:color w:val="000000"/>
                <w:kern w:val="0"/>
                <w:sz w:val="24"/>
                <w:szCs w:val="24"/>
              </w:rPr>
            </w:pPr>
            <w:r>
              <w:rPr>
                <w:rFonts w:ascii="Arial" w:hAnsi="Arial" w:cs="Arial"/>
                <w:color w:val="000000"/>
                <w:kern w:val="0"/>
                <w:sz w:val="20"/>
                <w:szCs w:val="20"/>
              </w:rPr>
              <w:t> </w:t>
            </w:r>
          </w:p>
        </w:tc>
        <w:tc>
          <w:tcPr>
            <w:tcW w:w="142" w:type="dxa"/>
            <w:noWrap w:val="0"/>
            <w:vAlign w:val="center"/>
          </w:tcPr>
          <w:p>
            <w:pPr>
              <w:widowControl/>
              <w:jc w:val="left"/>
              <w:rPr>
                <w:rFonts w:ascii="Times New Roman" w:hAnsi="Times New Roman" w:eastAsia="Times New Roman"/>
                <w:kern w:val="0"/>
                <w:sz w:val="20"/>
                <w:szCs w:val="20"/>
              </w:rPr>
            </w:pPr>
          </w:p>
        </w:tc>
      </w:tr>
    </w:tbl>
    <w:p>
      <w:pPr>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政府采购支出情况</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2018年度，部门政府采购支出总额9.72万元，其中：政府采购货物支出9.72万元；政府采购工程支出0万元；政府采购服务支出0万元。授予中小企业合同金额0万元，占政府采购支出总额的0%。</w:t>
      </w:r>
    </w:p>
    <w:p>
      <w:pPr>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四、部门绩效自评情况</w:t>
      </w:r>
    </w:p>
    <w:p>
      <w:pPr>
        <w:widowControl/>
        <w:snapToGrid w:val="0"/>
        <w:spacing w:before="100" w:after="100" w:line="360" w:lineRule="auto"/>
        <w:ind w:firstLine="600"/>
        <w:jc w:val="left"/>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lang w:val="en-US" w:eastAsia="zh-CN"/>
        </w:rPr>
        <w:t>部门绩效自评情况详见附表</w:t>
      </w:r>
      <w:r>
        <w:rPr>
          <w:rFonts w:hint="eastAsia" w:ascii="仿宋_GB2312" w:hAnsi="仿宋_GB2312" w:eastAsia="仿宋_GB2312" w:cs="仿宋_GB2312"/>
          <w:sz w:val="30"/>
          <w:szCs w:val="30"/>
          <w:highlight w:val="none"/>
          <w:lang w:val="en-US" w:eastAsia="zh-CN"/>
        </w:rPr>
        <w:t>（附表10—附表14）。</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五、其他重要事项情况说明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无</w:t>
      </w:r>
      <w:r>
        <w:rPr>
          <w:rFonts w:hint="eastAsia" w:ascii="仿宋_GB2312" w:hAnsi="黑体" w:eastAsia="仿宋_GB2312" w:cs="方正小标宋简体"/>
          <w:sz w:val="30"/>
          <w:szCs w:val="30"/>
        </w:rPr>
        <w:t>。</w:t>
      </w:r>
    </w:p>
    <w:p>
      <w:pPr>
        <w:widowControl/>
        <w:snapToGrid w:val="0"/>
        <w:spacing w:before="100" w:after="100" w:line="360" w:lineRule="auto"/>
        <w:ind w:firstLine="600" w:firstLineChars="200"/>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六、相关口径说明</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（一）</w:t>
      </w:r>
      <w:r>
        <w:rPr>
          <w:rFonts w:hint="eastAsia" w:ascii="仿宋_GB2312" w:hAnsi="黑体" w:eastAsia="仿宋_GB2312" w:cs="方正小标宋简体"/>
          <w:sz w:val="30"/>
          <w:szCs w:val="30"/>
        </w:rPr>
        <w:t>基本支出中人员经费包括工资福利支出和对个人和家庭的补助，日常公用支出包括商品和服务支出、资本性支出等人员经费以外的支出。</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（二）</w:t>
      </w:r>
      <w:r>
        <w:rPr>
          <w:rFonts w:hint="eastAsia" w:ascii="仿宋_GB2312" w:hAnsi="黑体" w:eastAsia="仿宋_GB2312" w:cs="方正小标宋简体"/>
          <w:sz w:val="30"/>
          <w:szCs w:val="30"/>
        </w:rPr>
        <w:t>机关运行经费指行政单位和参照公务员法管理的事业单位使用一般公共预算财政拨款安排的基本支出中的日常公用经费支出</w:t>
      </w:r>
      <w:r>
        <w:rPr>
          <w:rFonts w:hint="eastAsia" w:ascii="仿宋_GB2312" w:hAnsi="黑体" w:eastAsia="仿宋_GB2312" w:cs="方正小标宋简体"/>
          <w:sz w:val="30"/>
          <w:szCs w:val="30"/>
          <w:lang w:eastAsia="zh-CN"/>
        </w:rPr>
        <w:t>。</w:t>
      </w:r>
    </w:p>
    <w:p>
      <w:pPr>
        <w:ind w:firstLine="600" w:firstLineChars="200"/>
        <w:jc w:val="left"/>
        <w:rPr>
          <w:rFonts w:hint="eastAsia" w:ascii="仿宋_GB2312" w:hAnsi="黑体" w:eastAsia="仿宋_GB2312" w:cs="方正小标宋简体"/>
          <w:sz w:val="30"/>
          <w:szCs w:val="30"/>
          <w:highlight w:val="none"/>
        </w:rPr>
      </w:pPr>
      <w:r>
        <w:rPr>
          <w:rFonts w:hint="eastAsia" w:ascii="仿宋_GB2312" w:hAnsi="黑体" w:eastAsia="仿宋_GB2312" w:cs="方正小标宋简体"/>
          <w:sz w:val="30"/>
          <w:szCs w:val="30"/>
          <w:lang w:eastAsia="zh-CN"/>
        </w:rPr>
        <w:t>（三）</w:t>
      </w:r>
      <w:r>
        <w:rPr>
          <w:rFonts w:hint="eastAsia" w:ascii="仿宋_GB2312" w:hAnsi="黑体" w:eastAsia="仿宋_GB2312" w:cs="方正小标宋简体"/>
          <w:sz w:val="30"/>
          <w:szCs w:val="30"/>
        </w:rPr>
        <w:t>按照党中央、国务院有关文件及部门预算管理有关规定，“三公”经费包括因公出国（境）费、公务用车购置及运行维护费、公务接待费。</w:t>
      </w:r>
      <w:r>
        <w:rPr>
          <w:rFonts w:hint="eastAsia" w:ascii="仿宋_GB2312" w:hAnsi="黑体" w:eastAsia="仿宋_GB2312" w:cs="方正小标宋简体"/>
          <w:sz w:val="30"/>
          <w:szCs w:val="30"/>
          <w:highlight w:val="none"/>
        </w:rPr>
        <w:t>其中：因公出国（境）费，指单位工作人员公务出国（境）的国际旅费、国外城市间交通费、住宿费、伙食费、培训费、公杂费等支出；公务用车购置费，指单位公务用车车辆购置支出（含车辆购置税</w:t>
      </w:r>
      <w:r>
        <w:rPr>
          <w:rFonts w:hint="eastAsia" w:ascii="仿宋_GB2312" w:hAnsi="黑体" w:eastAsia="仿宋_GB2312" w:cs="方正小标宋简体"/>
          <w:sz w:val="30"/>
          <w:szCs w:val="30"/>
          <w:highlight w:val="none"/>
          <w:lang w:eastAsia="zh-CN"/>
        </w:rPr>
        <w:t>、牌照费等</w:t>
      </w:r>
      <w:r>
        <w:rPr>
          <w:rFonts w:hint="eastAsia" w:ascii="仿宋_GB2312" w:hAnsi="黑体" w:eastAsia="仿宋_GB2312" w:cs="方正小标宋简体"/>
          <w:sz w:val="30"/>
          <w:szCs w:val="30"/>
          <w:highlight w:val="none"/>
        </w:rPr>
        <w:t>）；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ind w:firstLine="600" w:firstLineChars="200"/>
        <w:jc w:val="left"/>
        <w:rPr>
          <w:rFonts w:hint="eastAsia" w:ascii="仿宋_GB2312" w:hAnsi="黑体" w:eastAsia="仿宋_GB2312" w:cs="方正小标宋简体"/>
          <w:sz w:val="30"/>
          <w:szCs w:val="30"/>
        </w:rPr>
      </w:pPr>
      <w:r>
        <w:rPr>
          <w:rFonts w:hint="eastAsia" w:ascii="仿宋_GB2312" w:hAnsi="黑体" w:eastAsia="仿宋_GB2312" w:cs="方正小标宋简体"/>
          <w:sz w:val="30"/>
          <w:szCs w:val="30"/>
          <w:lang w:eastAsia="zh-CN"/>
        </w:rPr>
        <w:t>（四）</w:t>
      </w:r>
      <w:r>
        <w:rPr>
          <w:rFonts w:hint="eastAsia" w:ascii="仿宋_GB2312" w:hAnsi="黑体" w:eastAsia="仿宋_GB2312" w:cs="方正小标宋简体"/>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ind w:firstLine="640" w:firstLineChars="200"/>
        <w:jc w:val="center"/>
        <w:rPr>
          <w:rFonts w:hint="eastAsia" w:ascii="黑体" w:hAnsi="黑体" w:eastAsia="黑体" w:cs="方正小标宋简体"/>
          <w:sz w:val="32"/>
          <w:szCs w:val="32"/>
        </w:rPr>
      </w:pPr>
      <w:r>
        <w:rPr>
          <w:rFonts w:hint="eastAsia" w:ascii="黑体" w:hAnsi="黑体" w:eastAsia="黑体" w:cs="方正小标宋简体"/>
          <w:sz w:val="32"/>
          <w:szCs w:val="32"/>
        </w:rPr>
        <w:t>第</w:t>
      </w:r>
      <w:r>
        <w:rPr>
          <w:rFonts w:hint="eastAsia" w:ascii="黑体" w:hAnsi="黑体" w:eastAsia="黑体" w:cs="方正小标宋简体"/>
          <w:sz w:val="32"/>
          <w:szCs w:val="32"/>
          <w:lang w:eastAsia="zh-CN"/>
        </w:rPr>
        <w:t>五</w:t>
      </w:r>
      <w:r>
        <w:rPr>
          <w:rFonts w:hint="eastAsia" w:ascii="黑体" w:hAnsi="黑体" w:eastAsia="黑体" w:cs="方正小标宋简体"/>
          <w:sz w:val="32"/>
          <w:szCs w:val="32"/>
        </w:rPr>
        <w:t>部分  名词解释</w:t>
      </w:r>
    </w:p>
    <w:p>
      <w:pPr>
        <w:numPr>
          <w:ilvl w:val="0"/>
          <w:numId w:val="1"/>
        </w:num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“三公”经费</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三公经费是指财政拨款支出安排的出国（境）费、车辆购置及运行费、公务接待费这三项经费。</w:t>
      </w:r>
    </w:p>
    <w:p>
      <w:pPr>
        <w:numPr>
          <w:ilvl w:val="0"/>
          <w:numId w:val="1"/>
        </w:numPr>
        <w:spacing w:line="6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部门预算</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部门预算是部门依据国家有关政策规定及其行使职能的需要，由基层预算单位编制，逐级上报、审核、汇总，经财政部门审核后提交立法机关依法批准的涵盖部门各项收支的综合财政计划。主要包括：收入、基本支出和项目预算等内容。</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l）收入预算的编制。部门应根据历年收入情况和下一年度收入增减变动因素，测算本部门取得的各项收入（不含国家税收）来源。收入预算要按收入类别逐项测算、编制，其中部门自行组织的行政性收费和预算外收入，要列明具体的单位和项目。</w:t>
      </w:r>
    </w:p>
    <w:p>
      <w:pPr>
        <w:numPr>
          <w:ilvl w:val="0"/>
          <w:numId w:val="2"/>
        </w:num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基本支出预算的编制。各部门要根据国家现有的经费政策和规定测算本部门的人员经费和公用经费；要按照预算年度所有因素和事项，分别轻重缓急测算每一级科目支出需求。基本支出预算包括人员经费和公用经费。人员经费包括基本工资、补助工资、其他工资、职工福利费和社会保障费等。人员经费预算应按机构编制主管部门批准的人员编制内的实有人数和国家规定的工资、津贴、补贴标准测算。公用经费包括公务费、小型设备购置费和修缮费、业务费和业务招待费等。各部门和单位应根据现有的公共资源情况和业务工作性质，按照财政部核定的公用经费单项定额标准和调整系数测算、编制。</w:t>
      </w:r>
    </w:p>
    <w:p>
      <w:pPr>
        <w:numPr>
          <w:ilvl w:val="0"/>
          <w:numId w:val="2"/>
        </w:num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项目预算的编制。项目预算包括：行政事业单位公用经费中的大型修缮费、购置费等；列入部门预算中的国家专门设立的事业发展项目支出；基本建设、挖潜改造、科技三项费用、支援农村生产性支出等建设性专项支出。部门申报项目时要进行可行性论证，对提出的项目从技术、财务、成本费用、组织机构、社会效益等方面进行分析，并列入项目备选库，财政部根据各部门事业发展需要和国家财力可能统筹安排。</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三、部门决算</w:t>
      </w:r>
    </w:p>
    <w:p>
      <w:pPr>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部门决算是列入年度部门预算编制范围的各部门和单位在每个会计年度终了之后,根据国家有关法律法规、会计制度及财政部门的编审要求,在日常会计核算的基础上编制的、综合反映本单位财务收支状况和各项资金管理状况以及人员、机构等信息的总结性文件。部门决算是国家财政决算的重要组成部分。国家财政决算是各级政府、各部门和单位所有决算形式的总称,按行政层级划分,它包括中央政府财政决算和地方各级政府财政决算;按组织形式划分, 包括财政总决算、部门决算和单位决算。政府各部门所属的行政、事业、企业单位,按其主管部门部署编制本单位决算。各部门在审核汇总所属各单位决算基础上,连同部门本身的决算收支数字,汇编成本部门决算,并报送本级财政部门。县级以上各级财政部门编制本级政府财政总决算。部门决算是单位决算的汇总,也是财政总决算的重要依据和补充,它在各级政府决算中既起到承上启下的作用,又在一定意义上与财政总决算处于并列的地位。</w:t>
      </w:r>
    </w:p>
    <w:p>
      <w:pPr>
        <w:ind w:firstLine="600" w:firstLineChars="200"/>
        <w:jc w:val="left"/>
        <w:rPr>
          <w:rFonts w:hint="eastAsia" w:ascii="仿宋_GB2312" w:hAnsi="黑体" w:eastAsia="仿宋_GB2312" w:cs="方正小标宋简体"/>
          <w:sz w:val="30"/>
          <w:szCs w:val="30"/>
        </w:rPr>
      </w:pPr>
    </w:p>
    <w:p>
      <w:pPr>
        <w:rPr>
          <w:rFonts w:ascii="Arial" w:hAnsi="Arial" w:eastAsia="Arial" w:cs="Arial"/>
          <w:b/>
          <w:sz w:val="36"/>
        </w:rPr>
      </w:pPr>
      <w:r>
        <w:rPr>
          <w:rFonts w:ascii="Arial" w:hAnsi="Arial" w:eastAsia="Arial" w:cs="Arial"/>
          <w:b/>
          <w:sz w:val="36"/>
        </w:rPr>
        <w:t>监督索引号53340000433301111</w:t>
      </w:r>
    </w:p>
    <w:sectPr>
      <w:headerReference r:id="rId3" w:type="default"/>
      <w:footerReference r:id="rId4" w:type="default"/>
      <w:footerReference r:id="rId5" w:type="even"/>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val="zh-CN"/>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9E12"/>
    <w:multiLevelType w:val="singleLevel"/>
    <w:tmpl w:val="599E9E12"/>
    <w:lvl w:ilvl="0" w:tentative="0">
      <w:start w:val="1"/>
      <w:numFmt w:val="chineseCounting"/>
      <w:suff w:val="nothing"/>
      <w:lvlText w:val="%1、"/>
      <w:lvlJc w:val="left"/>
    </w:lvl>
  </w:abstractNum>
  <w:abstractNum w:abstractNumId="1">
    <w:nsid w:val="599E9F27"/>
    <w:multiLevelType w:val="singleLevel"/>
    <w:tmpl w:val="599E9F2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3694D"/>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90A"/>
    <w:rsid w:val="0049341E"/>
    <w:rsid w:val="004D1694"/>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757B"/>
    <w:rsid w:val="008E399D"/>
    <w:rsid w:val="008F39D5"/>
    <w:rsid w:val="00905397"/>
    <w:rsid w:val="00944AE2"/>
    <w:rsid w:val="00953916"/>
    <w:rsid w:val="00960215"/>
    <w:rsid w:val="0096611B"/>
    <w:rsid w:val="00966EA3"/>
    <w:rsid w:val="00981B86"/>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C573F"/>
    <w:rsid w:val="00B07829"/>
    <w:rsid w:val="00B115F4"/>
    <w:rsid w:val="00B4333E"/>
    <w:rsid w:val="00B5366F"/>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94711"/>
    <w:rsid w:val="00CC1CE8"/>
    <w:rsid w:val="00CD4CE9"/>
    <w:rsid w:val="00D1253E"/>
    <w:rsid w:val="00D2484E"/>
    <w:rsid w:val="00DA0649"/>
    <w:rsid w:val="00DB4697"/>
    <w:rsid w:val="00DB67A4"/>
    <w:rsid w:val="00DC77E2"/>
    <w:rsid w:val="00DD261E"/>
    <w:rsid w:val="00DF1053"/>
    <w:rsid w:val="00DF1BEC"/>
    <w:rsid w:val="00E36604"/>
    <w:rsid w:val="00E662AA"/>
    <w:rsid w:val="00E769E8"/>
    <w:rsid w:val="00E80B36"/>
    <w:rsid w:val="00E9395C"/>
    <w:rsid w:val="00EA2124"/>
    <w:rsid w:val="00EC24BF"/>
    <w:rsid w:val="00ED7654"/>
    <w:rsid w:val="00EE750D"/>
    <w:rsid w:val="00F37401"/>
    <w:rsid w:val="00F44882"/>
    <w:rsid w:val="00F73DAF"/>
    <w:rsid w:val="00F74193"/>
    <w:rsid w:val="00F9286C"/>
    <w:rsid w:val="00F94DB0"/>
    <w:rsid w:val="00FA48DF"/>
    <w:rsid w:val="00FF6A71"/>
    <w:rsid w:val="109A2368"/>
    <w:rsid w:val="1253626C"/>
    <w:rsid w:val="12AF3DA1"/>
    <w:rsid w:val="14BC7366"/>
    <w:rsid w:val="162B64D8"/>
    <w:rsid w:val="1B9A76F1"/>
    <w:rsid w:val="22BA1854"/>
    <w:rsid w:val="253B1B6C"/>
    <w:rsid w:val="27DC2104"/>
    <w:rsid w:val="2ACD160E"/>
    <w:rsid w:val="2C086427"/>
    <w:rsid w:val="2C2C7BFF"/>
    <w:rsid w:val="2EBD6C76"/>
    <w:rsid w:val="37364169"/>
    <w:rsid w:val="47A16424"/>
    <w:rsid w:val="4C223214"/>
    <w:rsid w:val="4D211F84"/>
    <w:rsid w:val="4FCC7BC5"/>
    <w:rsid w:val="51C7309D"/>
    <w:rsid w:val="52BC6998"/>
    <w:rsid w:val="5F0C17D1"/>
    <w:rsid w:val="633D17A7"/>
    <w:rsid w:val="64547152"/>
    <w:rsid w:val="65212C12"/>
    <w:rsid w:val="6EC2380D"/>
    <w:rsid w:val="717F0765"/>
    <w:rsid w:val="761D68E0"/>
    <w:rsid w:val="77207610"/>
    <w:rsid w:val="78AF2483"/>
    <w:rsid w:val="79EB17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font01"/>
    <w:basedOn w:val="7"/>
    <w:qFormat/>
    <w:uiPriority w:val="0"/>
    <w:rPr>
      <w:rFonts w:hint="default" w:ascii="Arial" w:hAnsi="Arial" w:cs="Arial"/>
      <w:color w:val="000000"/>
      <w:sz w:val="20"/>
      <w:szCs w:val="20"/>
      <w:u w:val="none"/>
    </w:rPr>
  </w:style>
  <w:style w:type="character" w:customStyle="1" w:styleId="10">
    <w:name w:val="font1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598</Words>
  <Characters>3413</Characters>
  <Lines>28</Lines>
  <Paragraphs>8</Paragraphs>
  <TotalTime>6</TotalTime>
  <ScaleCrop>false</ScaleCrop>
  <LinksUpToDate>false</LinksUpToDate>
  <CharactersWithSpaces>4003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2013-05-09T09:41:00Z</dcterms:created>
  <dc:creator>赵树子</dc:creator>
  <cp:lastModifiedBy>xueqin</cp:lastModifiedBy>
  <cp:lastPrinted>2019-06-21T10:52:00Z</cp:lastPrinted>
  <dcterms:modified xsi:type="dcterms:W3CDTF">2020-01-06T13:49:47Z</dcterms:modified>
  <dc:title>四川省财政厅2011年部门预算编制说明</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