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部门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pacing w:line="600" w:lineRule="exact"/>
        <w:ind w:firstLine="1200" w:firstLineChars="400"/>
        <w:rPr>
          <w:rFonts w:hint="eastAsia" w:ascii="楷体" w:hAnsi="楷体" w:eastAsia="楷体"/>
          <w:sz w:val="30"/>
          <w:szCs w:val="30"/>
          <w:lang w:eastAsia="zh-CN"/>
        </w:rPr>
      </w:pPr>
      <w:r>
        <w:rPr>
          <w:rFonts w:hint="eastAsia" w:ascii="楷体" w:hAnsi="楷体" w:eastAsia="楷体"/>
          <w:sz w:val="30"/>
          <w:szCs w:val="30"/>
          <w:lang w:eastAsia="zh-CN"/>
        </w:rPr>
        <w:t>组织实施全州国民经济和社会发展战略、中长期规划和年度计划，统筹协调全州经济社会发展，研究分析国内外经济形势，拟订全州国民经济发展和优化重大经济结构的目标、政策，提出综合运用各种经济手段和政策促进全州经济社会发展建议，监测全州宏观经济和社会发展态势。参照政府批准的“三定”方案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240" w:lineRule="atLeast"/>
        <w:ind w:firstLine="300" w:firstLineChars="10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纳入部门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2019</w:t>
      </w:r>
      <w:r>
        <w:rPr>
          <w:rFonts w:hint="eastAsia" w:ascii="仿宋_GB2312" w:eastAsia="仿宋_GB2312"/>
          <w:sz w:val="30"/>
          <w:szCs w:val="30"/>
        </w:rPr>
        <w:t>年度部门</w:t>
      </w:r>
      <w:r>
        <w:rPr>
          <w:rFonts w:hint="eastAsia" w:ascii="仿宋_GB2312" w:eastAsia="仿宋_GB2312"/>
          <w:sz w:val="30"/>
          <w:szCs w:val="30"/>
          <w:lang w:eastAsia="zh-CN"/>
        </w:rPr>
        <w:t>预</w:t>
      </w:r>
      <w:r>
        <w:rPr>
          <w:rFonts w:hint="eastAsia" w:ascii="仿宋_GB2312" w:eastAsia="仿宋_GB2312"/>
          <w:sz w:val="30"/>
          <w:szCs w:val="30"/>
        </w:rPr>
        <w:t>算编报的单位共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个。其中：行政单位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个，</w:t>
      </w:r>
      <w:r>
        <w:rPr>
          <w:rFonts w:hint="eastAsia" w:ascii="楷体" w:hAnsi="楷体" w:eastAsia="楷体"/>
          <w:sz w:val="30"/>
          <w:szCs w:val="30"/>
          <w:lang w:eastAsia="zh-CN"/>
        </w:rPr>
        <w:t>根据迪庆州人民政府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（迪发【2015】7号）文件精神设立迪庆藏族自治州发展和改革委员会，为迪庆藏族自治州人民政府工作部门，正处级，加挂迪庆州粮食局、迪庆州能源局牌子。内设21个机构（正科级）。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本单位今年承担综合研究拟订我州经济和社会发展战略、规划及政策，进行总量平衡，并指导总体经济体制改革的宏观调控，负责检测经济运行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19年初</w:t>
      </w:r>
      <w:r>
        <w:rPr>
          <w:rFonts w:hint="eastAsia" w:ascii="仿宋_GB2312" w:eastAsia="仿宋_GB2312"/>
          <w:sz w:val="30"/>
          <w:szCs w:val="30"/>
        </w:rPr>
        <w:t>实有人员编制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59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人。其中：行政编制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59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人（含行政工勤编制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人），在职在编实有行政人员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人（含行政工勤人员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人），离退休人员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人。其中：离休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人，退休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13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人。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实有车辆编制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辆，在编实有车辆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2038.40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1917.04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</w:rPr>
        <w:t>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121.36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2038.40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1917.04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121.36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2038.40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2038.40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).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2038.40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2038.40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1793.40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245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功能科目分组，主要用</w:t>
      </w:r>
      <w:r>
        <w:rPr>
          <w:rFonts w:hint="eastAsia" w:eastAsia="仿宋_GB2312"/>
          <w:kern w:val="0"/>
          <w:sz w:val="30"/>
          <w:szCs w:val="30"/>
          <w:lang w:eastAsia="zh-CN"/>
        </w:rPr>
        <w:t>于</w:t>
      </w:r>
    </w:p>
    <w:tbl>
      <w:tblPr>
        <w:tblW w:w="6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551"/>
        <w:gridCol w:w="840"/>
        <w:gridCol w:w="4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11,564,618.48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基本工资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2,573,340.00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津贴补贴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8,769,240.00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奖金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214,445.00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其他社会保障缴费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7,593.48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商品和服务支出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707,403.20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办公费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工会经费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202,363.20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福利费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公务用车运行维护费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对个人和家庭的补助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30,672.00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生活补助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18,672.00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医疗费补助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一般公共服务支出-其他一般公共服务支出-其他一般公共服务支出(2019999)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商品和服务支出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取暖费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社会保障和就业支出-行政事业单位离退休-机关事业单位基本养老保险缴费支出(2080505)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1,724,258.40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1,724,258.40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机关事业单位基本养老保险缴费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1,724,258.40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社会保障和就业支出-行政事业单位离退休-其他行政事业单位离退休支出(2080599)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商品和服务支出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其他商品和服务支出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卫生健康支出-行政事业单位医疗-行政单位医疗(2101101)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931,060.92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919,060.92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职工基本医疗保险缴费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648,122.16</w:t>
            </w:r>
          </w:p>
        </w:tc>
      </w:tr>
    </w:tbl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1672.40</w:t>
      </w:r>
      <w:r>
        <w:rPr>
          <w:rFonts w:eastAsia="仿宋_GB2312"/>
          <w:kern w:val="0"/>
          <w:sz w:val="30"/>
          <w:szCs w:val="30"/>
        </w:rPr>
        <w:t>万元，项目支</w:t>
      </w:r>
      <w:r>
        <w:rPr>
          <w:rFonts w:hint="eastAsia" w:eastAsia="仿宋_GB2312"/>
          <w:kern w:val="0"/>
          <w:sz w:val="30"/>
          <w:szCs w:val="30"/>
          <w:lang w:eastAsia="zh-CN"/>
        </w:rPr>
        <w:t>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245</w:t>
      </w:r>
      <w:r>
        <w:rPr>
          <w:rFonts w:eastAsia="仿宋_GB2312"/>
          <w:kern w:val="0"/>
          <w:sz w:val="30"/>
          <w:szCs w:val="30"/>
        </w:rPr>
        <w:t>万元）。</w:t>
      </w:r>
    </w:p>
    <w:tbl>
      <w:tblPr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285"/>
        <w:gridCol w:w="270"/>
        <w:gridCol w:w="555"/>
        <w:gridCol w:w="45"/>
        <w:gridCol w:w="5011"/>
        <w:gridCol w:w="2701"/>
        <w:gridCol w:w="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基本工资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津贴补贴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奖金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其他社会保障缴费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商品和服务支出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办公费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工会经费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福利费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公务用车运行维护费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对个人和家庭的补助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生活补助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医疗费补助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一般公共服务支出-其他一般公共服务支出-其他一般公共服务支出(2019999)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商品和服务支出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取暖费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社会保障和就业支出-行政事业单位离退休-机关事业单位基本养老保险缴费支出(2080505)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机关事业单位基本养老保险缴费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社会保障和就业支出-行政事业单位离退休-其他行政事业单位离退休支出(2080599)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商品和服务支出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其他商品和服务支出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卫生健康支出-行政事业单位医疗-行政单位医疗(2101101)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职工基本医疗保险缴费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其他社会保障缴费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对个人和家庭的补助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医疗费补助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卫生健康支出-行政事业单位医疗-公务员医疗补助(2101103)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公务员医疗补助缴费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卫生健康支出-其他卫生健康支出-其他卫生健康支出(2109901)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医疗费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住房保障支出-住房改革支出-住房公积金(2210201)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住房公积金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一般公共服务支出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发展与改革事务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机关服务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30211 差旅费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低碳发展工作经费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节能环保支出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能源节约利用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能源节约利用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30211 差旅费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价格鉴证工作经费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一般公共服务支出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发展与改革事务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物价管理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30211 差旅费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易地扶贫搬迁工作经费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一般公共服务支出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发展与改革事务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其他发展与改革事务支出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30211 差旅费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重大项目规划及综合管理工作经费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一般公共服务支出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发展与改革事务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其他发展与改革事务支出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30211 差旅费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价格监测工作经费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一般公共服务支出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发展与改革事务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经济体制改革研究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8" w:type="dxa"/>
          <w:trHeight w:val="28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30211 差旅费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50,000.00</w:t>
            </w:r>
          </w:p>
        </w:tc>
      </w:tr>
    </w:tbl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金额XXX万元，主要用于……。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重大项目规划及综合管理工作经费</w:t>
      </w:r>
      <w:r>
        <w:rPr>
          <w:rFonts w:hint="eastAsia" w:eastAsia="仿宋_GB2312"/>
          <w:kern w:val="0"/>
          <w:sz w:val="30"/>
          <w:szCs w:val="30"/>
          <w:lang w:eastAsia="zh-CN"/>
        </w:rPr>
        <w:t>由原来的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300万调减成200万。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bookmarkStart w:id="0" w:name="_GoBack"/>
      <w:bookmarkEnd w:id="0"/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鉴于截至xx年12月31日的国有资产占有使用情况需在完成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AFF83E"/>
    <w:multiLevelType w:val="singleLevel"/>
    <w:tmpl w:val="D9AFF8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29CF40F0"/>
    <w:rsid w:val="6F204C06"/>
    <w:rsid w:val="753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3</TotalTime>
  <ScaleCrop>false</ScaleCrop>
  <LinksUpToDate>false</LinksUpToDate>
  <CharactersWithSpaces>1196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     春去秋来</cp:lastModifiedBy>
  <cp:lastPrinted>2018-01-31T03:32:00Z</cp:lastPrinted>
  <dcterms:modified xsi:type="dcterms:W3CDTF">2019-01-16T07:11:56Z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