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Times New Roman" w:eastAsia="仿宋_GB2312" w:cs="方正小标宋简体"/>
          <w:b/>
          <w:sz w:val="36"/>
          <w:szCs w:val="36"/>
        </w:rPr>
      </w:pPr>
    </w:p>
    <w:p>
      <w:pPr>
        <w:jc w:val="center"/>
        <w:rPr>
          <w:rFonts w:ascii="仿宋_GB2312" w:hAnsi="Times New Roman" w:eastAsia="仿宋_GB2312" w:cs="方正小标宋简体"/>
          <w:b/>
          <w:sz w:val="32"/>
          <w:szCs w:val="32"/>
        </w:rPr>
      </w:pPr>
      <w:r>
        <w:rPr>
          <w:rFonts w:hint="eastAsia" w:ascii="仿宋_GB2312" w:hAnsi="Times New Roman" w:eastAsia="仿宋_GB2312" w:cs="方正小标宋简体"/>
          <w:b/>
          <w:sz w:val="32"/>
          <w:szCs w:val="32"/>
        </w:rPr>
        <w:t>云南省马铃薯产业技术体系迪庆试验站绩效自评报告</w:t>
      </w:r>
    </w:p>
    <w:p>
      <w:pPr>
        <w:pStyle w:val="7"/>
        <w:numPr>
          <w:ilvl w:val="0"/>
          <w:numId w:val="1"/>
        </w:numPr>
        <w:ind w:firstLineChars="0"/>
        <w:rPr>
          <w:rFonts w:ascii="仿宋_GB2312" w:hAnsi="Times New Roman" w:eastAsia="仿宋_GB2312" w:cs="Times New Roman"/>
          <w:b/>
          <w:sz w:val="32"/>
          <w:szCs w:val="32"/>
        </w:rPr>
      </w:pPr>
      <w:r>
        <w:rPr>
          <w:rFonts w:hint="eastAsia" w:ascii="仿宋_GB2312" w:hAnsi="黑体" w:eastAsia="仿宋_GB2312" w:cs="黑体"/>
          <w:b/>
          <w:sz w:val="32"/>
          <w:szCs w:val="32"/>
        </w:rPr>
        <w:t>部门基本情况</w:t>
      </w:r>
    </w:p>
    <w:p>
      <w:pPr>
        <w:pStyle w:val="8"/>
        <w:numPr>
          <w:ilvl w:val="0"/>
          <w:numId w:val="2"/>
        </w:numPr>
        <w:ind w:firstLineChars="0"/>
        <w:rPr>
          <w:rFonts w:ascii="仿宋_GB2312" w:hAnsi="Times New Roman" w:eastAsia="仿宋_GB2312" w:cs="仿宋_GB2312"/>
          <w:b/>
          <w:sz w:val="32"/>
          <w:szCs w:val="32"/>
        </w:rPr>
      </w:pPr>
      <w:r>
        <w:fldChar w:fldCharType="begin"/>
      </w:r>
      <w:r>
        <w:instrText xml:space="preserve"> HYPERLINK \l "_Toc434746187" </w:instrText>
      </w:r>
      <w:r>
        <w:fldChar w:fldCharType="separate"/>
      </w:r>
      <w:r>
        <w:rPr>
          <w:rFonts w:hint="eastAsia" w:ascii="仿宋_GB2312" w:hAnsi="Times New Roman" w:eastAsia="仿宋_GB2312"/>
          <w:b/>
          <w:sz w:val="32"/>
          <w:szCs w:val="32"/>
        </w:rPr>
        <w:t>部门概况</w:t>
      </w:r>
      <w:r>
        <w:rPr>
          <w:rFonts w:hint="eastAsia" w:ascii="仿宋_GB2312" w:hAnsi="Times New Roman" w:eastAsia="仿宋_GB2312"/>
          <w:b/>
          <w:sz w:val="32"/>
          <w:szCs w:val="32"/>
        </w:rPr>
        <w:fldChar w:fldCharType="end"/>
      </w:r>
    </w:p>
    <w:p>
      <w:pPr>
        <w:ind w:firstLine="480" w:firstLineChars="150"/>
        <w:rPr>
          <w:rFonts w:ascii="仿宋_GB2312" w:eastAsia="仿宋_GB2312"/>
          <w:sz w:val="32"/>
          <w:szCs w:val="32"/>
        </w:rPr>
      </w:pPr>
      <w:r>
        <w:rPr>
          <w:rFonts w:hint="eastAsia" w:ascii="仿宋_GB2312" w:eastAsia="仿宋_GB2312"/>
          <w:sz w:val="32"/>
          <w:szCs w:val="32"/>
        </w:rPr>
        <w:t>根据《迪庆州财政局 迪庆州农牧局关于下达201</w:t>
      </w:r>
      <w:r>
        <w:rPr>
          <w:rFonts w:hint="eastAsia" w:ascii="仿宋_GB2312" w:eastAsia="仿宋_GB2312"/>
          <w:sz w:val="32"/>
          <w:szCs w:val="32"/>
          <w:lang w:val="en-US" w:eastAsia="zh-CN"/>
        </w:rPr>
        <w:t>6</w:t>
      </w:r>
      <w:r>
        <w:rPr>
          <w:rFonts w:hint="eastAsia" w:ascii="仿宋_GB2312" w:eastAsia="仿宋_GB2312"/>
          <w:sz w:val="32"/>
          <w:szCs w:val="32"/>
        </w:rPr>
        <w:t>年省农业生产发展专项资金（切块到州级部分）及任务计划的通知》迪财农【201</w:t>
      </w:r>
      <w:r>
        <w:rPr>
          <w:rFonts w:hint="eastAsia" w:ascii="仿宋_GB2312" w:eastAsia="仿宋_GB2312"/>
          <w:sz w:val="32"/>
          <w:szCs w:val="32"/>
          <w:lang w:val="en-US" w:eastAsia="zh-CN"/>
        </w:rPr>
        <w:t>6</w:t>
      </w:r>
      <w:r>
        <w:rPr>
          <w:rFonts w:hint="eastAsia" w:ascii="仿宋_GB2312" w:eastAsia="仿宋_GB2312"/>
          <w:sz w:val="32"/>
          <w:szCs w:val="32"/>
        </w:rPr>
        <w:t>】41号文件，以及省马铃薯体系迪庆试验站2017年年度工作任务书（编号：201</w:t>
      </w:r>
      <w:r>
        <w:rPr>
          <w:rFonts w:hint="eastAsia" w:ascii="仿宋_GB2312" w:eastAsia="仿宋_GB2312"/>
          <w:sz w:val="32"/>
          <w:szCs w:val="32"/>
          <w:lang w:val="en-US" w:eastAsia="zh-CN"/>
        </w:rPr>
        <w:t>6</w:t>
      </w:r>
      <w:r>
        <w:rPr>
          <w:rFonts w:hint="eastAsia" w:ascii="仿宋_GB2312" w:eastAsia="仿宋_GB2312"/>
          <w:sz w:val="32"/>
          <w:szCs w:val="32"/>
        </w:rPr>
        <w:t>KJIX003）的要求，迪庆试验站认真结合迪庆马铃薯生产实际情况，制定201</w:t>
      </w:r>
      <w:r>
        <w:rPr>
          <w:rFonts w:hint="eastAsia" w:ascii="仿宋_GB2312" w:eastAsia="仿宋_GB2312"/>
          <w:sz w:val="32"/>
          <w:szCs w:val="32"/>
          <w:lang w:val="en-US" w:eastAsia="zh-CN"/>
        </w:rPr>
        <w:t>6</w:t>
      </w:r>
      <w:r>
        <w:rPr>
          <w:rFonts w:hint="eastAsia" w:ascii="仿宋_GB2312" w:eastAsia="仿宋_GB2312"/>
          <w:sz w:val="32"/>
          <w:szCs w:val="32"/>
        </w:rPr>
        <w:t>年迪庆试验站年度工作实施方案并认真组织实施。</w:t>
      </w:r>
    </w:p>
    <w:p>
      <w:pPr>
        <w:rPr>
          <w:rFonts w:hint="eastAsia" w:ascii="仿宋_GB2312" w:eastAsia="仿宋_GB2312"/>
          <w:sz w:val="32"/>
          <w:szCs w:val="32"/>
        </w:rPr>
      </w:pPr>
      <w:r>
        <w:rPr>
          <w:rFonts w:hint="eastAsia" w:ascii="仿宋_GB2312" w:eastAsia="仿宋_GB2312"/>
          <w:sz w:val="32"/>
          <w:szCs w:val="32"/>
        </w:rPr>
        <w:t xml:space="preserve">     1、在香格里拉市建塘镇尼史村和小中甸镇联合村建设马铃薯良种繁育基地100亩，生产马铃薯良种，年脱毒良种应用率提高10%以上。</w:t>
      </w:r>
    </w:p>
    <w:p>
      <w:pPr>
        <w:ind w:firstLine="640" w:firstLineChars="200"/>
        <w:rPr>
          <w:rFonts w:hint="eastAsia" w:ascii="仿宋_GB2312" w:eastAsia="仿宋_GB2312"/>
          <w:sz w:val="32"/>
          <w:szCs w:val="32"/>
        </w:rPr>
      </w:pPr>
      <w:r>
        <w:rPr>
          <w:rFonts w:hint="eastAsia" w:ascii="仿宋_GB2312" w:eastAsia="仿宋_GB2312"/>
          <w:sz w:val="32"/>
          <w:szCs w:val="32"/>
        </w:rPr>
        <w:t>2、完成马铃薯脱毒苗、原原种、原种生产，生产原原种20万粒，生产原种30吨，集成马铃薯脱毒种薯繁育、生产新技术。</w:t>
      </w:r>
    </w:p>
    <w:p>
      <w:pPr>
        <w:ind w:firstLine="640" w:firstLineChars="200"/>
        <w:rPr>
          <w:rFonts w:hint="eastAsia" w:ascii="仿宋_GB2312" w:eastAsia="仿宋_GB2312"/>
          <w:sz w:val="32"/>
          <w:szCs w:val="32"/>
        </w:rPr>
      </w:pPr>
      <w:r>
        <w:rPr>
          <w:rFonts w:hint="eastAsia" w:ascii="仿宋_GB2312" w:eastAsia="仿宋_GB2312"/>
          <w:sz w:val="32"/>
          <w:szCs w:val="32"/>
        </w:rPr>
        <w:t>3、开展马铃薯新品种（系）引种、收集、鉴定、筛选及示范试验，筛选出马铃薯新品种，建设好马铃薯种质资源圃。</w:t>
      </w:r>
    </w:p>
    <w:p>
      <w:pPr>
        <w:ind w:firstLine="640" w:firstLineChars="200"/>
        <w:rPr>
          <w:rFonts w:hint="eastAsia" w:ascii="仿宋_GB2312" w:eastAsia="仿宋_GB2312"/>
          <w:sz w:val="32"/>
          <w:szCs w:val="32"/>
        </w:rPr>
      </w:pPr>
      <w:r>
        <w:rPr>
          <w:rFonts w:hint="eastAsia" w:ascii="仿宋_GB2312" w:eastAsia="仿宋_GB2312"/>
          <w:sz w:val="32"/>
          <w:szCs w:val="32"/>
        </w:rPr>
        <w:t>4、全年集中培训科技人员和农民四场次，350人次。</w:t>
      </w:r>
    </w:p>
    <w:p>
      <w:pPr>
        <w:ind w:firstLine="640" w:firstLineChars="200"/>
        <w:rPr>
          <w:rFonts w:hint="eastAsia" w:ascii="仿宋_GB2312" w:eastAsia="仿宋_GB2312"/>
          <w:sz w:val="32"/>
          <w:szCs w:val="32"/>
        </w:rPr>
      </w:pPr>
      <w:r>
        <w:rPr>
          <w:rFonts w:hint="eastAsia" w:ascii="仿宋_GB2312" w:eastAsia="仿宋_GB2312"/>
          <w:sz w:val="32"/>
          <w:szCs w:val="32"/>
        </w:rPr>
        <w:t>5、与全州三县农业局农技推广中心签订云南省现代农业马铃薯产业技术体系建设项目合同，示范推广马铃薯新品种良种3000亩，加强马铃薯生产技术指导，应急工作、技术培训和团队建设。</w:t>
      </w:r>
    </w:p>
    <w:p>
      <w:pPr>
        <w:ind w:firstLine="640" w:firstLineChars="200"/>
        <w:rPr>
          <w:rFonts w:hint="eastAsia" w:ascii="仿宋_GB2312" w:eastAsia="仿宋_GB2312"/>
          <w:sz w:val="32"/>
          <w:szCs w:val="32"/>
        </w:rPr>
      </w:pPr>
      <w:r>
        <w:rPr>
          <w:rFonts w:hint="eastAsia" w:ascii="仿宋_GB2312" w:eastAsia="仿宋_GB2312"/>
          <w:sz w:val="32"/>
          <w:szCs w:val="32"/>
        </w:rPr>
        <w:t xml:space="preserve">6、及时上报工作动态信息10条。 </w:t>
      </w:r>
    </w:p>
    <w:p>
      <w:pPr>
        <w:ind w:firstLine="640" w:firstLineChars="200"/>
        <w:rPr>
          <w:rFonts w:hint="eastAsia" w:ascii="仿宋_GB2312" w:eastAsia="仿宋_GB2312"/>
          <w:sz w:val="32"/>
          <w:szCs w:val="32"/>
        </w:rPr>
      </w:pPr>
      <w:r>
        <w:rPr>
          <w:rFonts w:hint="eastAsia" w:ascii="仿宋_GB2312" w:eastAsia="仿宋_GB2312"/>
          <w:sz w:val="32"/>
          <w:szCs w:val="32"/>
        </w:rPr>
        <w:t>7、及时上报和处置当地马铃薯产业发展突发事件；完成云南省农业厅和体系交办的临时性工作。</w:t>
      </w:r>
    </w:p>
    <w:p>
      <w:pPr>
        <w:ind w:firstLine="643" w:firstLineChars="200"/>
        <w:rPr>
          <w:rFonts w:ascii="仿宋_GB2312" w:hAnsi="Times New Roman" w:eastAsia="仿宋_GB2312" w:cs="仿宋_GB2312"/>
          <w:b/>
          <w:sz w:val="32"/>
          <w:szCs w:val="32"/>
        </w:rPr>
      </w:pPr>
      <w:r>
        <w:rPr>
          <w:rFonts w:hint="eastAsia" w:ascii="仿宋_GB2312" w:eastAsia="仿宋_GB2312"/>
          <w:b/>
          <w:sz w:val="32"/>
          <w:szCs w:val="32"/>
        </w:rPr>
        <w:t>（二）</w:t>
      </w:r>
      <w:r>
        <w:fldChar w:fldCharType="begin"/>
      </w:r>
      <w:r>
        <w:instrText xml:space="preserve"> HYPERLINK \l "_Toc434746189" </w:instrText>
      </w:r>
      <w:r>
        <w:fldChar w:fldCharType="separate"/>
      </w:r>
      <w:r>
        <w:rPr>
          <w:rFonts w:hint="eastAsia" w:ascii="仿宋_GB2312" w:hAnsi="Times New Roman" w:eastAsia="仿宋_GB2312"/>
          <w:b/>
          <w:sz w:val="32"/>
          <w:szCs w:val="32"/>
        </w:rPr>
        <w:t>部门整体收支情况</w:t>
      </w:r>
      <w:r>
        <w:rPr>
          <w:rFonts w:hint="eastAsia" w:ascii="仿宋_GB2312" w:hAnsi="Times New Roman" w:eastAsia="仿宋_GB2312"/>
          <w:b/>
          <w:sz w:val="32"/>
          <w:szCs w:val="32"/>
        </w:rPr>
        <w:fldChar w:fldCharType="end"/>
      </w:r>
    </w:p>
    <w:p>
      <w:pPr>
        <w:ind w:firstLine="648"/>
        <w:rPr>
          <w:rFonts w:hint="eastAsia" w:ascii="仿宋_GB2312" w:hAnsi="Times New Roman" w:eastAsia="仿宋_GB2312" w:cs="仿宋_GB2312"/>
          <w:sz w:val="32"/>
          <w:szCs w:val="32"/>
        </w:rPr>
      </w:pPr>
      <w:r>
        <w:rPr>
          <w:rFonts w:hint="eastAsia" w:ascii="仿宋_GB2312" w:hAnsi="Times New Roman" w:eastAsia="仿宋_GB2312" w:cs="仿宋_GB2312"/>
          <w:sz w:val="32"/>
          <w:szCs w:val="32"/>
        </w:rPr>
        <w:t>迪庆州农业科学研究所开展云南省马铃薯产业技术体系迪庆试验站建设项目共计投入资金15万元，主要用于项目区的种子补助、肥料补助、各项试验劳务、马铃薯脱毒育苗生产原原种耗材、三县示范推广委托费、项目检查和测产验收等工作。具体使用情况如下：</w:t>
      </w:r>
    </w:p>
    <w:p>
      <w:pPr>
        <w:ind w:firstLine="648"/>
        <w:jc w:val="center"/>
        <w:rPr>
          <w:rFonts w:hint="eastAsia" w:cs="仿宋_GB2312" w:asciiTheme="minorEastAsia" w:hAnsiTheme="minorEastAsia" w:eastAsiaTheme="minorEastAsia"/>
          <w:b/>
          <w:sz w:val="24"/>
          <w:szCs w:val="24"/>
        </w:rPr>
      </w:pPr>
      <w:r>
        <w:rPr>
          <w:rFonts w:hint="eastAsia" w:cs="宋体" w:asciiTheme="minorEastAsia" w:hAnsiTheme="minorEastAsia" w:eastAsiaTheme="minorEastAsia"/>
          <w:b/>
          <w:color w:val="000000"/>
          <w:kern w:val="0"/>
          <w:sz w:val="24"/>
          <w:szCs w:val="24"/>
        </w:rPr>
        <w:t>项目支出明细表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jc w:val="center"/>
              <w:rPr>
                <w:rFonts w:hint="eastAsia" w:cs="仿宋_GB2312" w:asciiTheme="minorEastAsia" w:hAnsiTheme="minorEastAsia" w:eastAsiaTheme="minorEastAsia"/>
                <w:b/>
                <w:sz w:val="24"/>
                <w:szCs w:val="24"/>
              </w:rPr>
            </w:pPr>
          </w:p>
        </w:tc>
        <w:tc>
          <w:tcPr>
            <w:tcW w:w="2841" w:type="dxa"/>
          </w:tcPr>
          <w:p>
            <w:pPr>
              <w:jc w:val="center"/>
              <w:rPr>
                <w:rFonts w:hint="eastAsia" w:cs="仿宋_GB2312" w:asciiTheme="minorEastAsia" w:hAnsiTheme="minorEastAsia" w:eastAsiaTheme="minorEastAsia"/>
                <w:b/>
                <w:sz w:val="24"/>
                <w:szCs w:val="24"/>
              </w:rPr>
            </w:pPr>
          </w:p>
        </w:tc>
        <w:tc>
          <w:tcPr>
            <w:tcW w:w="2841" w:type="dxa"/>
          </w:tcPr>
          <w:p>
            <w:pPr>
              <w:jc w:val="center"/>
              <w:rPr>
                <w:rFonts w:hint="eastAsia" w:cs="仿宋_GB2312" w:asciiTheme="minorEastAsia" w:hAnsiTheme="minorEastAsia" w:eastAsiaTheme="minorEastAsia"/>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支出内容</w:t>
            </w:r>
          </w:p>
        </w:tc>
        <w:tc>
          <w:tcPr>
            <w:tcW w:w="2841" w:type="dxa"/>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预算支出数</w:t>
            </w:r>
          </w:p>
        </w:tc>
        <w:tc>
          <w:tcPr>
            <w:tcW w:w="2841" w:type="dxa"/>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实际支出数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专用材料购置费</w:t>
            </w:r>
          </w:p>
        </w:tc>
        <w:tc>
          <w:tcPr>
            <w:tcW w:w="2841" w:type="dxa"/>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4.5</w:t>
            </w:r>
          </w:p>
        </w:tc>
        <w:tc>
          <w:tcPr>
            <w:tcW w:w="2841" w:type="dxa"/>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燃料动力费</w:t>
            </w:r>
          </w:p>
        </w:tc>
        <w:tc>
          <w:tcPr>
            <w:tcW w:w="2841" w:type="dxa"/>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0.3</w:t>
            </w:r>
          </w:p>
        </w:tc>
        <w:tc>
          <w:tcPr>
            <w:tcW w:w="2841" w:type="dxa"/>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差旅费</w:t>
            </w:r>
          </w:p>
        </w:tc>
        <w:tc>
          <w:tcPr>
            <w:tcW w:w="2841" w:type="dxa"/>
          </w:tcPr>
          <w:p>
            <w:pPr>
              <w:jc w:val="center"/>
              <w:rPr>
                <w:rFonts w:hint="eastAsia" w:cs="仿宋_GB2312" w:asciiTheme="minorEastAsia" w:hAnsiTheme="minorEastAsia" w:eastAsiaTheme="minorEastAsia"/>
                <w:sz w:val="20"/>
                <w:szCs w:val="20"/>
              </w:rPr>
            </w:pPr>
            <w:r>
              <w:rPr>
                <w:rFonts w:hint="eastAsia" w:cs="仿宋_GB2312" w:asciiTheme="minorEastAsia" w:hAnsiTheme="minorEastAsia" w:eastAsiaTheme="minorEastAsia"/>
                <w:sz w:val="20"/>
                <w:szCs w:val="20"/>
              </w:rPr>
              <w:t>1.5</w:t>
            </w:r>
          </w:p>
        </w:tc>
        <w:tc>
          <w:tcPr>
            <w:tcW w:w="2841" w:type="dxa"/>
          </w:tcPr>
          <w:p>
            <w:pPr>
              <w:jc w:val="center"/>
              <w:rPr>
                <w:rFonts w:hint="eastAsia" w:cs="仿宋_GB2312" w:asciiTheme="minorEastAsia" w:hAnsiTheme="minorEastAsia" w:eastAsiaTheme="minorEastAsia"/>
                <w:sz w:val="20"/>
                <w:szCs w:val="20"/>
              </w:rPr>
            </w:pPr>
            <w:r>
              <w:rPr>
                <w:rFonts w:hint="eastAsia" w:cs="仿宋_GB2312" w:asciiTheme="minorEastAsia" w:hAnsiTheme="minorEastAsia" w:eastAsiaTheme="minorEastAsia"/>
                <w:sz w:val="20"/>
                <w:szCs w:val="2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培训费</w:t>
            </w:r>
          </w:p>
        </w:tc>
        <w:tc>
          <w:tcPr>
            <w:tcW w:w="2841" w:type="dxa"/>
          </w:tcPr>
          <w:p>
            <w:pPr>
              <w:jc w:val="center"/>
              <w:rPr>
                <w:rFonts w:hint="eastAsia" w:cs="仿宋_GB2312" w:asciiTheme="minorEastAsia" w:hAnsiTheme="minorEastAsia" w:eastAsiaTheme="minorEastAsia"/>
                <w:sz w:val="20"/>
                <w:szCs w:val="20"/>
              </w:rPr>
            </w:pPr>
            <w:r>
              <w:rPr>
                <w:rFonts w:hint="eastAsia" w:cs="仿宋_GB2312" w:asciiTheme="minorEastAsia" w:hAnsiTheme="minorEastAsia" w:eastAsiaTheme="minorEastAsia"/>
                <w:sz w:val="20"/>
                <w:szCs w:val="20"/>
              </w:rPr>
              <w:t>1</w:t>
            </w:r>
          </w:p>
        </w:tc>
        <w:tc>
          <w:tcPr>
            <w:tcW w:w="2841" w:type="dxa"/>
          </w:tcPr>
          <w:p>
            <w:pPr>
              <w:jc w:val="center"/>
              <w:rPr>
                <w:rFonts w:hint="eastAsia" w:cs="仿宋_GB2312" w:asciiTheme="minorEastAsia" w:hAnsiTheme="minorEastAsia" w:eastAsiaTheme="minorEastAsia"/>
                <w:sz w:val="20"/>
                <w:szCs w:val="20"/>
              </w:rPr>
            </w:pPr>
            <w:r>
              <w:rPr>
                <w:rFonts w:hint="eastAsia" w:cs="仿宋_GB2312" w:asciiTheme="minorEastAsia" w:hAnsiTheme="minorEastAsia" w:eastAsiaTheme="minorEastAsia"/>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出版印刷费</w:t>
            </w:r>
          </w:p>
        </w:tc>
        <w:tc>
          <w:tcPr>
            <w:tcW w:w="2841" w:type="dxa"/>
          </w:tcPr>
          <w:p>
            <w:pPr>
              <w:jc w:val="center"/>
              <w:rPr>
                <w:rFonts w:hint="eastAsia" w:cs="仿宋_GB2312" w:asciiTheme="minorEastAsia" w:hAnsiTheme="minorEastAsia" w:eastAsiaTheme="minorEastAsia"/>
                <w:sz w:val="20"/>
                <w:szCs w:val="20"/>
              </w:rPr>
            </w:pPr>
            <w:r>
              <w:rPr>
                <w:rFonts w:hint="eastAsia" w:cs="仿宋_GB2312" w:asciiTheme="minorEastAsia" w:hAnsiTheme="minorEastAsia" w:eastAsiaTheme="minorEastAsia"/>
                <w:sz w:val="20"/>
                <w:szCs w:val="20"/>
              </w:rPr>
              <w:t>0.5</w:t>
            </w:r>
          </w:p>
        </w:tc>
        <w:tc>
          <w:tcPr>
            <w:tcW w:w="2841" w:type="dxa"/>
          </w:tcPr>
          <w:p>
            <w:pPr>
              <w:jc w:val="center"/>
              <w:rPr>
                <w:rFonts w:hint="eastAsia" w:cs="仿宋_GB2312" w:asciiTheme="minorEastAsia" w:hAnsiTheme="minorEastAsia" w:eastAsiaTheme="minorEastAsia"/>
                <w:sz w:val="20"/>
                <w:szCs w:val="20"/>
              </w:rPr>
            </w:pPr>
            <w:r>
              <w:rPr>
                <w:rFonts w:hint="eastAsia" w:cs="仿宋_GB2312" w:asciiTheme="minorEastAsia" w:hAnsiTheme="minorEastAsia" w:eastAsiaTheme="minorEastAsia"/>
                <w:sz w:val="20"/>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劳务费</w:t>
            </w:r>
          </w:p>
        </w:tc>
        <w:tc>
          <w:tcPr>
            <w:tcW w:w="2841" w:type="dxa"/>
          </w:tcPr>
          <w:p>
            <w:pPr>
              <w:jc w:val="center"/>
              <w:rPr>
                <w:rFonts w:hint="eastAsia" w:cs="仿宋_GB2312" w:asciiTheme="minorEastAsia" w:hAnsiTheme="minorEastAsia" w:eastAsiaTheme="minorEastAsia"/>
                <w:sz w:val="20"/>
                <w:szCs w:val="20"/>
              </w:rPr>
            </w:pPr>
            <w:r>
              <w:rPr>
                <w:rFonts w:hint="eastAsia" w:cs="仿宋_GB2312" w:asciiTheme="minorEastAsia" w:hAnsiTheme="minorEastAsia" w:eastAsiaTheme="minorEastAsia"/>
                <w:sz w:val="20"/>
                <w:szCs w:val="20"/>
              </w:rPr>
              <w:t>2.7</w:t>
            </w:r>
          </w:p>
        </w:tc>
        <w:tc>
          <w:tcPr>
            <w:tcW w:w="2841" w:type="dxa"/>
          </w:tcPr>
          <w:p>
            <w:pPr>
              <w:jc w:val="center"/>
              <w:rPr>
                <w:rFonts w:hint="eastAsia" w:cs="仿宋_GB2312" w:asciiTheme="minorEastAsia" w:hAnsiTheme="minorEastAsia" w:eastAsiaTheme="minorEastAsia"/>
                <w:sz w:val="20"/>
                <w:szCs w:val="20"/>
              </w:rPr>
            </w:pPr>
            <w:r>
              <w:rPr>
                <w:rFonts w:hint="eastAsia" w:cs="仿宋_GB2312" w:asciiTheme="minorEastAsia" w:hAnsiTheme="minorEastAsia" w:eastAsiaTheme="minorEastAsia"/>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委托业务费</w:t>
            </w:r>
          </w:p>
        </w:tc>
        <w:tc>
          <w:tcPr>
            <w:tcW w:w="2841" w:type="dxa"/>
          </w:tcPr>
          <w:p>
            <w:pPr>
              <w:jc w:val="center"/>
              <w:rPr>
                <w:rFonts w:hint="eastAsia" w:cs="仿宋_GB2312" w:asciiTheme="minorEastAsia" w:hAnsiTheme="minorEastAsia" w:eastAsiaTheme="minorEastAsia"/>
                <w:sz w:val="20"/>
                <w:szCs w:val="20"/>
              </w:rPr>
            </w:pPr>
            <w:r>
              <w:rPr>
                <w:rFonts w:hint="eastAsia" w:cs="仿宋_GB2312" w:asciiTheme="minorEastAsia" w:hAnsiTheme="minorEastAsia" w:eastAsiaTheme="minorEastAsia"/>
                <w:sz w:val="20"/>
                <w:szCs w:val="20"/>
              </w:rPr>
              <w:t>3</w:t>
            </w:r>
          </w:p>
        </w:tc>
        <w:tc>
          <w:tcPr>
            <w:tcW w:w="2841" w:type="dxa"/>
          </w:tcPr>
          <w:p>
            <w:pPr>
              <w:jc w:val="center"/>
              <w:rPr>
                <w:rFonts w:hint="eastAsia" w:cs="仿宋_GB2312" w:asciiTheme="minorEastAsia" w:hAnsiTheme="minorEastAsia" w:eastAsiaTheme="minorEastAsia"/>
                <w:sz w:val="20"/>
                <w:szCs w:val="20"/>
              </w:rPr>
            </w:pPr>
            <w:r>
              <w:rPr>
                <w:rFonts w:hint="eastAsia" w:cs="仿宋_GB2312" w:asciiTheme="minorEastAsia" w:hAnsiTheme="minorEastAsia" w:eastAsiaTheme="minorEastAsia"/>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租赁费</w:t>
            </w:r>
          </w:p>
        </w:tc>
        <w:tc>
          <w:tcPr>
            <w:tcW w:w="2841" w:type="dxa"/>
          </w:tcPr>
          <w:p>
            <w:pPr>
              <w:jc w:val="center"/>
              <w:rPr>
                <w:rFonts w:hint="eastAsia" w:cs="仿宋_GB2312" w:asciiTheme="minorEastAsia" w:hAnsiTheme="minorEastAsia" w:eastAsiaTheme="minorEastAsia"/>
                <w:sz w:val="20"/>
                <w:szCs w:val="20"/>
              </w:rPr>
            </w:pPr>
            <w:r>
              <w:rPr>
                <w:rFonts w:hint="eastAsia" w:cs="仿宋_GB2312" w:asciiTheme="minorEastAsia" w:hAnsiTheme="minorEastAsia" w:eastAsiaTheme="minorEastAsia"/>
                <w:sz w:val="20"/>
                <w:szCs w:val="20"/>
              </w:rPr>
              <w:t>1</w:t>
            </w:r>
          </w:p>
        </w:tc>
        <w:tc>
          <w:tcPr>
            <w:tcW w:w="2841" w:type="dxa"/>
          </w:tcPr>
          <w:p>
            <w:pPr>
              <w:jc w:val="center"/>
              <w:rPr>
                <w:rFonts w:hint="eastAsia" w:cs="仿宋_GB2312" w:asciiTheme="minorEastAsia" w:hAnsiTheme="minorEastAsia" w:eastAsiaTheme="minorEastAsia"/>
                <w:sz w:val="20"/>
                <w:szCs w:val="20"/>
              </w:rPr>
            </w:pPr>
            <w:r>
              <w:rPr>
                <w:rFonts w:hint="eastAsia" w:cs="仿宋_GB2312" w:asciiTheme="minorEastAsia" w:hAnsiTheme="minorEastAsia" w:eastAsiaTheme="minorEastAsia"/>
                <w:sz w:val="20"/>
                <w:szCs w:val="20"/>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管理费</w:t>
            </w:r>
          </w:p>
        </w:tc>
        <w:tc>
          <w:tcPr>
            <w:tcW w:w="2841" w:type="dxa"/>
          </w:tcPr>
          <w:p>
            <w:pPr>
              <w:jc w:val="center"/>
              <w:rPr>
                <w:rFonts w:hint="eastAsia" w:cs="仿宋_GB2312" w:asciiTheme="minorEastAsia" w:hAnsiTheme="minorEastAsia" w:eastAsiaTheme="minorEastAsia"/>
                <w:sz w:val="20"/>
                <w:szCs w:val="20"/>
              </w:rPr>
            </w:pPr>
            <w:r>
              <w:rPr>
                <w:rFonts w:hint="eastAsia" w:cs="仿宋_GB2312" w:asciiTheme="minorEastAsia" w:hAnsiTheme="minorEastAsia" w:eastAsiaTheme="minorEastAsia"/>
                <w:sz w:val="20"/>
                <w:szCs w:val="20"/>
              </w:rPr>
              <w:t>0.5</w:t>
            </w:r>
          </w:p>
        </w:tc>
        <w:tc>
          <w:tcPr>
            <w:tcW w:w="2841" w:type="dxa"/>
          </w:tcPr>
          <w:p>
            <w:pPr>
              <w:jc w:val="center"/>
              <w:rPr>
                <w:rFonts w:hint="eastAsia" w:cs="仿宋_GB2312" w:asciiTheme="minorEastAsia" w:hAnsiTheme="minorEastAsia" w:eastAsiaTheme="minorEastAsia"/>
                <w:sz w:val="20"/>
                <w:szCs w:val="20"/>
              </w:rPr>
            </w:pPr>
            <w:r>
              <w:rPr>
                <w:rFonts w:hint="eastAsia" w:cs="仿宋_GB2312" w:asciiTheme="minorEastAsia" w:hAnsiTheme="minorEastAsia" w:eastAsiaTheme="minorEastAsia"/>
                <w:sz w:val="20"/>
                <w:szCs w:val="20"/>
              </w:rPr>
              <w:t>0.5</w:t>
            </w:r>
          </w:p>
        </w:tc>
      </w:tr>
    </w:tbl>
    <w:p>
      <w:pPr>
        <w:ind w:firstLine="648"/>
        <w:jc w:val="center"/>
        <w:rPr>
          <w:rFonts w:hint="eastAsia" w:cs="仿宋_GB2312" w:asciiTheme="minorEastAsia" w:hAnsiTheme="minorEastAsia" w:eastAsiaTheme="minorEastAsia"/>
          <w:b/>
          <w:sz w:val="24"/>
          <w:szCs w:val="24"/>
        </w:rPr>
      </w:pPr>
    </w:p>
    <w:p>
      <w:pPr>
        <w:ind w:firstLine="480" w:firstLineChars="150"/>
        <w:rPr>
          <w:rFonts w:ascii="仿宋_GB2312" w:hAnsi="Times New Roman" w:eastAsia="仿宋_GB2312" w:cs="仿宋_GB2312"/>
          <w:sz w:val="32"/>
          <w:szCs w:val="32"/>
        </w:rPr>
      </w:pPr>
      <w:r>
        <w:rPr>
          <w:rFonts w:hint="eastAsia" w:ascii="仿宋_GB2312" w:hAnsi="Times New Roman" w:eastAsia="仿宋_GB2312" w:cs="仿宋_GB2312"/>
          <w:sz w:val="32"/>
          <w:szCs w:val="32"/>
        </w:rPr>
        <w:t>以上各项共安排经费15.00万元。</w:t>
      </w:r>
      <w:r>
        <w:rPr>
          <w:rFonts w:ascii="仿宋_GB2312" w:hAnsi="Times New Roman" w:eastAsia="仿宋_GB2312" w:cs="仿宋_GB2312"/>
          <w:sz w:val="32"/>
          <w:szCs w:val="32"/>
        </w:rPr>
        <w:t xml:space="preserve"> </w:t>
      </w:r>
    </w:p>
    <w:p>
      <w:pPr>
        <w:ind w:left="643"/>
        <w:rPr>
          <w:rFonts w:ascii="仿宋_GB2312" w:hAnsi="Times New Roman" w:eastAsia="仿宋_GB2312" w:cs="仿宋_GB2312"/>
          <w:b/>
          <w:sz w:val="32"/>
          <w:szCs w:val="32"/>
        </w:rPr>
      </w:pPr>
      <w:r>
        <w:rPr>
          <w:rFonts w:hint="eastAsia" w:ascii="仿宋_GB2312" w:eastAsia="仿宋_GB2312"/>
          <w:b/>
          <w:sz w:val="32"/>
          <w:szCs w:val="32"/>
        </w:rPr>
        <w:t>（三）</w:t>
      </w:r>
      <w:r>
        <w:fldChar w:fldCharType="begin"/>
      </w:r>
      <w:r>
        <w:instrText xml:space="preserve"> HYPERLINK \l "_Toc434746190" </w:instrText>
      </w:r>
      <w:r>
        <w:fldChar w:fldCharType="separate"/>
      </w:r>
      <w:r>
        <w:rPr>
          <w:rFonts w:hint="eastAsia" w:ascii="仿宋_GB2312" w:hAnsi="Times New Roman" w:eastAsia="仿宋_GB2312"/>
          <w:b/>
          <w:sz w:val="32"/>
          <w:szCs w:val="32"/>
        </w:rPr>
        <w:t>部门预算管理制度建设情况</w:t>
      </w:r>
      <w:r>
        <w:rPr>
          <w:rFonts w:hint="eastAsia" w:ascii="仿宋_GB2312" w:hAnsi="Times New Roman" w:eastAsia="仿宋_GB2312"/>
          <w:b/>
          <w:sz w:val="32"/>
          <w:szCs w:val="32"/>
        </w:rPr>
        <w:fldChar w:fldCharType="end"/>
      </w:r>
    </w:p>
    <w:p>
      <w:pPr>
        <w:rPr>
          <w:rFonts w:ascii="仿宋_GB2312" w:hAnsi="Times New Roman" w:eastAsia="仿宋_GB2312" w:cs="仿宋_GB2312"/>
          <w:sz w:val="32"/>
          <w:szCs w:val="32"/>
        </w:rPr>
      </w:pPr>
      <w:r>
        <w:rPr>
          <w:rFonts w:hint="eastAsia" w:ascii="仿宋_GB2312" w:hAnsi="Times New Roman" w:eastAsia="仿宋_GB2312" w:cs="仿宋_GB2312"/>
          <w:b/>
          <w:sz w:val="32"/>
          <w:szCs w:val="32"/>
        </w:rPr>
        <w:t xml:space="preserve">    </w:t>
      </w:r>
      <w:r>
        <w:rPr>
          <w:rFonts w:hint="eastAsia" w:ascii="仿宋_GB2312" w:hAnsi="Times New Roman" w:eastAsia="仿宋_GB2312" w:cs="仿宋_GB2312"/>
          <w:sz w:val="32"/>
          <w:szCs w:val="32"/>
        </w:rPr>
        <w:t>规范资金使用与管理。在资金使用与管理上，严格按照农业部和省财政有关项目专项资金管理办法的要求，加强资金管理，按照项目预算使用资金，实行专账支付，把有限的资金用在项目建设上。</w:t>
      </w:r>
    </w:p>
    <w:p>
      <w:pPr>
        <w:pStyle w:val="7"/>
        <w:ind w:firstLine="643"/>
        <w:rPr>
          <w:rFonts w:ascii="仿宋_GB2312" w:hAnsi="Times New Roman" w:eastAsia="仿宋_GB2312" w:cs="Times New Roman"/>
          <w:b/>
          <w:sz w:val="32"/>
          <w:szCs w:val="32"/>
        </w:rPr>
      </w:pPr>
      <w:r>
        <w:rPr>
          <w:rFonts w:hint="eastAsia" w:ascii="仿宋_GB2312" w:hAnsi="黑体" w:eastAsia="仿宋_GB2312" w:cs="黑体"/>
          <w:b/>
          <w:sz w:val="32"/>
          <w:szCs w:val="32"/>
        </w:rPr>
        <w:t>二、绩效自评工作情况</w:t>
      </w:r>
    </w:p>
    <w:p>
      <w:pPr>
        <w:ind w:firstLine="643" w:firstLineChars="200"/>
        <w:rPr>
          <w:rFonts w:ascii="仿宋_GB2312" w:hAnsi="Times New Roman" w:eastAsia="仿宋_GB2312" w:cs="仿宋_GB2312"/>
          <w:b/>
          <w:sz w:val="32"/>
          <w:szCs w:val="32"/>
        </w:rPr>
      </w:pPr>
      <w:r>
        <w:rPr>
          <w:rFonts w:hint="eastAsia" w:ascii="仿宋_GB2312" w:hAnsi="Times New Roman" w:eastAsia="仿宋_GB2312" w:cs="仿宋_GB2312"/>
          <w:b/>
          <w:sz w:val="32"/>
          <w:szCs w:val="32"/>
        </w:rPr>
        <w:t>（一）绩效自评目的</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绩效自评是在一定期间内科学、动态地衡量项目工作进度和效果的考核方式，通过制定有效、客观的考核标准，对项目进行评定，以进一步规范项目管理，项目效率；绩效自评使各级管理者明确了解项目实施进度，通过对项目实施过程中考核期内的业绩等的评估，充分了解项目实施情况。</w:t>
      </w:r>
    </w:p>
    <w:p>
      <w:pPr>
        <w:ind w:firstLine="643" w:firstLineChars="200"/>
        <w:rPr>
          <w:rFonts w:ascii="仿宋_GB2312" w:hAnsi="Times New Roman" w:eastAsia="仿宋_GB2312" w:cs="仿宋_GB2312"/>
          <w:b/>
          <w:sz w:val="32"/>
          <w:szCs w:val="32"/>
        </w:rPr>
      </w:pPr>
      <w:r>
        <w:rPr>
          <w:rFonts w:hint="eastAsia" w:ascii="仿宋_GB2312" w:hAnsi="Times New Roman" w:eastAsia="仿宋_GB2312" w:cs="仿宋_GB2312"/>
          <w:b/>
          <w:sz w:val="32"/>
          <w:szCs w:val="32"/>
        </w:rPr>
        <w:t>（二）自评指标体系</w:t>
      </w:r>
    </w:p>
    <w:p>
      <w:pPr>
        <w:ind w:firstLine="482" w:firstLineChars="200"/>
        <w:jc w:val="center"/>
        <w:rPr>
          <w:rFonts w:hint="eastAsia" w:ascii="仿宋_GB2312" w:eastAsia="仿宋_GB2312" w:cs="Times New Roman"/>
          <w:b/>
          <w:sz w:val="24"/>
          <w:szCs w:val="24"/>
        </w:rPr>
      </w:pPr>
      <w:r>
        <w:rPr>
          <w:rFonts w:hint="eastAsia" w:ascii="仿宋_GB2312" w:eastAsia="仿宋_GB2312" w:cs="Times New Roman"/>
          <w:b/>
          <w:sz w:val="24"/>
          <w:szCs w:val="24"/>
        </w:rPr>
        <w:t>项目绩效目标表</w:t>
      </w:r>
    </w:p>
    <w:tbl>
      <w:tblPr>
        <w:tblStyle w:val="5"/>
        <w:tblpPr w:leftFromText="180" w:rightFromText="180" w:vertAnchor="text" w:horzAnchor="margin" w:tblpXSpec="center" w:tblpY="301"/>
        <w:tblW w:w="10456" w:type="dxa"/>
        <w:tblInd w:w="0" w:type="dxa"/>
        <w:tblLayout w:type="fixed"/>
        <w:tblCellMar>
          <w:top w:w="0" w:type="dxa"/>
          <w:left w:w="108" w:type="dxa"/>
          <w:bottom w:w="0" w:type="dxa"/>
          <w:right w:w="108" w:type="dxa"/>
        </w:tblCellMar>
      </w:tblPr>
      <w:tblGrid>
        <w:gridCol w:w="959"/>
        <w:gridCol w:w="1302"/>
        <w:gridCol w:w="2293"/>
        <w:gridCol w:w="2358"/>
        <w:gridCol w:w="993"/>
        <w:gridCol w:w="666"/>
        <w:gridCol w:w="649"/>
        <w:gridCol w:w="1236"/>
      </w:tblGrid>
      <w:tr>
        <w:tblPrEx>
          <w:tblLayout w:type="fixed"/>
          <w:tblCellMar>
            <w:top w:w="0" w:type="dxa"/>
            <w:left w:w="108" w:type="dxa"/>
            <w:bottom w:w="0" w:type="dxa"/>
            <w:right w:w="108" w:type="dxa"/>
          </w:tblCellMar>
        </w:tblPrEx>
        <w:trPr>
          <w:trHeight w:val="600" w:hRule="atLeast"/>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一级指标</w:t>
            </w:r>
          </w:p>
        </w:tc>
        <w:tc>
          <w:tcPr>
            <w:tcW w:w="694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二级指标</w:t>
            </w:r>
          </w:p>
        </w:tc>
        <w:tc>
          <w:tcPr>
            <w:tcW w:w="13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绩效指标完成</w:t>
            </w:r>
            <w:r>
              <w:rPr>
                <w:rFonts w:hint="eastAsia" w:ascii="黑体" w:hAnsi="黑体" w:eastAsia="黑体" w:cs="宋体"/>
                <w:color w:val="000000"/>
                <w:kern w:val="0"/>
                <w:sz w:val="18"/>
                <w:szCs w:val="18"/>
              </w:rPr>
              <w:br w:type="textWrapping"/>
            </w:r>
            <w:r>
              <w:rPr>
                <w:rFonts w:hint="eastAsia" w:ascii="黑体" w:hAnsi="黑体" w:eastAsia="黑体" w:cs="宋体"/>
                <w:color w:val="000000"/>
                <w:kern w:val="0"/>
                <w:sz w:val="18"/>
                <w:szCs w:val="18"/>
              </w:rPr>
              <w:t>情况分析</w:t>
            </w:r>
          </w:p>
        </w:tc>
        <w:tc>
          <w:tcPr>
            <w:tcW w:w="1236"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情况说明</w:t>
            </w:r>
          </w:p>
        </w:tc>
      </w:tr>
      <w:tr>
        <w:tblPrEx>
          <w:tblLayout w:type="fixed"/>
          <w:tblCellMar>
            <w:top w:w="0" w:type="dxa"/>
            <w:left w:w="108" w:type="dxa"/>
            <w:bottom w:w="0" w:type="dxa"/>
            <w:right w:w="108" w:type="dxa"/>
          </w:tblCellMar>
        </w:tblPrEx>
        <w:trPr>
          <w:trHeight w:val="675" w:hRule="atLeast"/>
        </w:trPr>
        <w:tc>
          <w:tcPr>
            <w:tcW w:w="9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1.项目绩效</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指标完成分析</w:t>
            </w:r>
          </w:p>
        </w:tc>
        <w:tc>
          <w:tcPr>
            <w:tcW w:w="1302" w:type="dxa"/>
            <w:tcBorders>
              <w:top w:val="nil"/>
              <w:left w:val="nil"/>
              <w:bottom w:val="single" w:color="auto" w:sz="4" w:space="0"/>
              <w:right w:val="single" w:color="auto" w:sz="4"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指标</w:t>
            </w:r>
            <w:r>
              <w:rPr>
                <w:rFonts w:hint="eastAsia" w:ascii="黑体" w:hAnsi="黑体" w:eastAsia="黑体" w:cs="宋体"/>
                <w:color w:val="000000"/>
                <w:kern w:val="0"/>
                <w:sz w:val="18"/>
                <w:szCs w:val="18"/>
              </w:rPr>
              <w:br w:type="textWrapping"/>
            </w:r>
            <w:r>
              <w:rPr>
                <w:rFonts w:hint="eastAsia" w:ascii="黑体" w:hAnsi="黑体" w:eastAsia="黑体" w:cs="宋体"/>
                <w:color w:val="000000"/>
                <w:kern w:val="0"/>
                <w:sz w:val="18"/>
                <w:szCs w:val="18"/>
              </w:rPr>
              <w:t>类型</w:t>
            </w:r>
          </w:p>
        </w:tc>
        <w:tc>
          <w:tcPr>
            <w:tcW w:w="22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上年绩效指标</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完成情况</w:t>
            </w:r>
          </w:p>
        </w:tc>
        <w:tc>
          <w:tcPr>
            <w:tcW w:w="23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申报项目确定的</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预期绩效指标</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执行完毕</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绩效指标</w:t>
            </w:r>
          </w:p>
        </w:tc>
        <w:tc>
          <w:tcPr>
            <w:tcW w:w="66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完成率</w:t>
            </w:r>
          </w:p>
        </w:tc>
        <w:tc>
          <w:tcPr>
            <w:tcW w:w="6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完成</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质量</w:t>
            </w:r>
          </w:p>
        </w:tc>
        <w:tc>
          <w:tcPr>
            <w:tcW w:w="1236" w:type="dxa"/>
            <w:vMerge w:val="continue"/>
            <w:tcBorders>
              <w:top w:val="nil"/>
              <w:left w:val="nil"/>
              <w:bottom w:val="single" w:color="auto" w:sz="4" w:space="0"/>
              <w:right w:val="single" w:color="auto" w:sz="4" w:space="0"/>
            </w:tcBorders>
            <w:vAlign w:val="center"/>
          </w:tcPr>
          <w:p>
            <w:pPr>
              <w:widowControl/>
              <w:jc w:val="left"/>
              <w:rPr>
                <w:rFonts w:ascii="黑体" w:hAnsi="黑体" w:eastAsia="黑体" w:cs="宋体"/>
                <w:color w:val="000000"/>
                <w:kern w:val="0"/>
                <w:sz w:val="18"/>
                <w:szCs w:val="18"/>
              </w:rPr>
            </w:pPr>
          </w:p>
        </w:tc>
      </w:tr>
      <w:tr>
        <w:tblPrEx>
          <w:tblLayout w:type="fixed"/>
          <w:tblCellMar>
            <w:top w:w="0" w:type="dxa"/>
            <w:left w:w="108" w:type="dxa"/>
            <w:bottom w:w="0" w:type="dxa"/>
            <w:right w:w="108" w:type="dxa"/>
          </w:tblCellMar>
        </w:tblPrEx>
        <w:trPr>
          <w:trHeight w:val="600"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产出</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指标</w:t>
            </w:r>
          </w:p>
        </w:tc>
        <w:tc>
          <w:tcPr>
            <w:tcW w:w="22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上年完成指标</w:t>
            </w:r>
          </w:p>
        </w:tc>
        <w:tc>
          <w:tcPr>
            <w:tcW w:w="23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计划指标</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完成指标</w:t>
            </w:r>
          </w:p>
        </w:tc>
        <w:tc>
          <w:tcPr>
            <w:tcW w:w="66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　</w:t>
            </w:r>
          </w:p>
        </w:tc>
      </w:tr>
      <w:tr>
        <w:tblPrEx>
          <w:tblLayout w:type="fixed"/>
          <w:tblCellMar>
            <w:top w:w="0" w:type="dxa"/>
            <w:left w:w="108" w:type="dxa"/>
            <w:bottom w:w="0" w:type="dxa"/>
            <w:right w:w="108" w:type="dxa"/>
          </w:tblCellMar>
        </w:tblPrEx>
        <w:trPr>
          <w:trHeight w:val="600"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02"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马铃薯试验站</w:t>
            </w:r>
          </w:p>
        </w:tc>
        <w:tc>
          <w:tcPr>
            <w:tcW w:w="2293"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w:t>
            </w:r>
          </w:p>
        </w:tc>
        <w:tc>
          <w:tcPr>
            <w:tcW w:w="2358"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w:t>
            </w:r>
          </w:p>
        </w:tc>
        <w:tc>
          <w:tcPr>
            <w:tcW w:w="993"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w:t>
            </w:r>
          </w:p>
        </w:tc>
        <w:tc>
          <w:tcPr>
            <w:tcW w:w="666"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100%</w:t>
            </w:r>
          </w:p>
        </w:tc>
        <w:tc>
          <w:tcPr>
            <w:tcW w:w="649"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优</w:t>
            </w:r>
          </w:p>
        </w:tc>
        <w:tc>
          <w:tcPr>
            <w:tcW w:w="1236"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Layout w:type="fixed"/>
          <w:tblCellMar>
            <w:top w:w="0" w:type="dxa"/>
            <w:left w:w="108" w:type="dxa"/>
            <w:bottom w:w="0" w:type="dxa"/>
            <w:right w:w="108" w:type="dxa"/>
          </w:tblCellMar>
        </w:tblPrEx>
        <w:trPr>
          <w:trHeight w:val="600"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02"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良种繁育基地</w:t>
            </w:r>
          </w:p>
        </w:tc>
        <w:tc>
          <w:tcPr>
            <w:tcW w:w="2293"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120亩</w:t>
            </w:r>
          </w:p>
        </w:tc>
        <w:tc>
          <w:tcPr>
            <w:tcW w:w="2358"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100亩</w:t>
            </w:r>
          </w:p>
        </w:tc>
        <w:tc>
          <w:tcPr>
            <w:tcW w:w="993" w:type="dxa"/>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140亩</w:t>
            </w:r>
          </w:p>
        </w:tc>
        <w:tc>
          <w:tcPr>
            <w:tcW w:w="666"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100%</w:t>
            </w:r>
          </w:p>
        </w:tc>
        <w:tc>
          <w:tcPr>
            <w:tcW w:w="649"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优</w:t>
            </w:r>
          </w:p>
        </w:tc>
        <w:tc>
          <w:tcPr>
            <w:tcW w:w="1236" w:type="dxa"/>
            <w:tcBorders>
              <w:top w:val="nil"/>
              <w:left w:val="nil"/>
              <w:bottom w:val="single" w:color="auto" w:sz="4" w:space="0"/>
              <w:right w:val="single" w:color="auto" w:sz="4" w:space="0"/>
            </w:tcBorders>
            <w:shd w:val="clear" w:color="auto" w:fill="auto"/>
            <w:vAlign w:val="center"/>
          </w:tcPr>
          <w:p>
            <w:pPr>
              <w:jc w:val="center"/>
            </w:pPr>
            <w:r>
              <w:rPr>
                <w:rFonts w:hint="eastAsia" w:cs="Times New Roman"/>
                <w:color w:val="000000"/>
                <w:szCs w:val="22"/>
              </w:rPr>
              <w:t>总结资料</w:t>
            </w:r>
          </w:p>
        </w:tc>
      </w:tr>
      <w:tr>
        <w:tblPrEx>
          <w:tblLayout w:type="fixed"/>
          <w:tblCellMar>
            <w:top w:w="0" w:type="dxa"/>
            <w:left w:w="108" w:type="dxa"/>
            <w:bottom w:w="0" w:type="dxa"/>
            <w:right w:w="108" w:type="dxa"/>
          </w:tblCellMar>
        </w:tblPrEx>
        <w:trPr>
          <w:trHeight w:val="600"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02"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示范新品种新技术</w:t>
            </w:r>
          </w:p>
        </w:tc>
        <w:tc>
          <w:tcPr>
            <w:tcW w:w="2293"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2</w:t>
            </w:r>
          </w:p>
        </w:tc>
        <w:tc>
          <w:tcPr>
            <w:tcW w:w="2358"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w:t>
            </w:r>
          </w:p>
        </w:tc>
        <w:tc>
          <w:tcPr>
            <w:tcW w:w="993" w:type="dxa"/>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5</w:t>
            </w:r>
          </w:p>
        </w:tc>
        <w:tc>
          <w:tcPr>
            <w:tcW w:w="666"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100%</w:t>
            </w:r>
          </w:p>
        </w:tc>
        <w:tc>
          <w:tcPr>
            <w:tcW w:w="649"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优</w:t>
            </w:r>
          </w:p>
        </w:tc>
        <w:tc>
          <w:tcPr>
            <w:tcW w:w="1236" w:type="dxa"/>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Layout w:type="fixed"/>
          <w:tblCellMar>
            <w:top w:w="0" w:type="dxa"/>
            <w:left w:w="108" w:type="dxa"/>
            <w:bottom w:w="0" w:type="dxa"/>
            <w:right w:w="108" w:type="dxa"/>
          </w:tblCellMar>
        </w:tblPrEx>
        <w:trPr>
          <w:trHeight w:val="600"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02"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上报工作动态信息</w:t>
            </w:r>
          </w:p>
        </w:tc>
        <w:tc>
          <w:tcPr>
            <w:tcW w:w="2293"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23</w:t>
            </w:r>
          </w:p>
        </w:tc>
        <w:tc>
          <w:tcPr>
            <w:tcW w:w="2358"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5</w:t>
            </w:r>
          </w:p>
        </w:tc>
        <w:tc>
          <w:tcPr>
            <w:tcW w:w="993" w:type="dxa"/>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w:t>
            </w:r>
          </w:p>
        </w:tc>
        <w:tc>
          <w:tcPr>
            <w:tcW w:w="666"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100%</w:t>
            </w:r>
          </w:p>
        </w:tc>
        <w:tc>
          <w:tcPr>
            <w:tcW w:w="649"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优</w:t>
            </w:r>
          </w:p>
        </w:tc>
        <w:tc>
          <w:tcPr>
            <w:tcW w:w="1236" w:type="dxa"/>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Layout w:type="fixed"/>
          <w:tblCellMar>
            <w:top w:w="0" w:type="dxa"/>
            <w:left w:w="108" w:type="dxa"/>
            <w:bottom w:w="0" w:type="dxa"/>
            <w:right w:w="108" w:type="dxa"/>
          </w:tblCellMar>
        </w:tblPrEx>
        <w:trPr>
          <w:trHeight w:val="600"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0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sz w:val="20"/>
                <w:szCs w:val="20"/>
              </w:rPr>
            </w:pPr>
            <w:r>
              <w:rPr>
                <w:rFonts w:hint="eastAsia"/>
                <w:color w:val="000000"/>
                <w:sz w:val="20"/>
                <w:szCs w:val="20"/>
              </w:rPr>
              <w:t>项目完成及时率</w:t>
            </w:r>
          </w:p>
        </w:tc>
        <w:tc>
          <w:tcPr>
            <w:tcW w:w="2293"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100%</w:t>
            </w:r>
          </w:p>
        </w:tc>
        <w:tc>
          <w:tcPr>
            <w:tcW w:w="2358"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90%</w:t>
            </w:r>
          </w:p>
        </w:tc>
        <w:tc>
          <w:tcPr>
            <w:tcW w:w="993" w:type="dxa"/>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100%</w:t>
            </w:r>
          </w:p>
        </w:tc>
        <w:tc>
          <w:tcPr>
            <w:tcW w:w="666"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100%</w:t>
            </w:r>
          </w:p>
        </w:tc>
        <w:tc>
          <w:tcPr>
            <w:tcW w:w="649"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优</w:t>
            </w:r>
          </w:p>
        </w:tc>
        <w:tc>
          <w:tcPr>
            <w:tcW w:w="1236" w:type="dxa"/>
            <w:tcBorders>
              <w:top w:val="single" w:color="auto" w:sz="4" w:space="0"/>
              <w:left w:val="nil"/>
              <w:bottom w:val="single" w:color="auto" w:sz="4" w:space="0"/>
              <w:right w:val="single" w:color="000000" w:sz="4" w:space="0"/>
            </w:tcBorders>
            <w:shd w:val="clear" w:color="auto" w:fill="auto"/>
            <w:vAlign w:val="center"/>
          </w:tcPr>
          <w:p>
            <w:pPr>
              <w:jc w:val="center"/>
              <w:rPr>
                <w:rFonts w:hint="eastAsia" w:cs="Times New Roman"/>
                <w:color w:val="000000"/>
                <w:szCs w:val="22"/>
              </w:rPr>
            </w:pPr>
            <w:r>
              <w:rPr>
                <w:rFonts w:hint="eastAsia" w:cs="Times New Roman"/>
                <w:color w:val="000000"/>
                <w:szCs w:val="22"/>
              </w:rPr>
              <w:t>总结资料</w:t>
            </w:r>
          </w:p>
        </w:tc>
      </w:tr>
      <w:tr>
        <w:tblPrEx>
          <w:tblLayout w:type="fixed"/>
          <w:tblCellMar>
            <w:top w:w="0" w:type="dxa"/>
            <w:left w:w="108" w:type="dxa"/>
            <w:bottom w:w="0" w:type="dxa"/>
            <w:right w:w="108" w:type="dxa"/>
          </w:tblCellMar>
        </w:tblPrEx>
        <w:trPr>
          <w:trHeight w:val="600"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02"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科技培训</w:t>
            </w:r>
          </w:p>
        </w:tc>
        <w:tc>
          <w:tcPr>
            <w:tcW w:w="2293"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500人次</w:t>
            </w:r>
          </w:p>
        </w:tc>
        <w:tc>
          <w:tcPr>
            <w:tcW w:w="2358"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200人次</w:t>
            </w:r>
          </w:p>
        </w:tc>
        <w:tc>
          <w:tcPr>
            <w:tcW w:w="993"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350人次</w:t>
            </w:r>
          </w:p>
        </w:tc>
        <w:tc>
          <w:tcPr>
            <w:tcW w:w="666"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175%</w:t>
            </w:r>
          </w:p>
        </w:tc>
        <w:tc>
          <w:tcPr>
            <w:tcW w:w="649"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优</w:t>
            </w:r>
          </w:p>
        </w:tc>
        <w:tc>
          <w:tcPr>
            <w:tcW w:w="1236"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Layout w:type="fixed"/>
          <w:tblCellMar>
            <w:top w:w="0" w:type="dxa"/>
            <w:left w:w="108" w:type="dxa"/>
            <w:bottom w:w="0" w:type="dxa"/>
            <w:right w:w="108" w:type="dxa"/>
          </w:tblCellMar>
        </w:tblPrEx>
        <w:trPr>
          <w:trHeight w:val="600"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02"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18"/>
                <w:szCs w:val="18"/>
              </w:rPr>
            </w:pPr>
            <w:r>
              <w:rPr>
                <w:rFonts w:hint="eastAsia"/>
                <w:b/>
                <w:bCs/>
                <w:color w:val="000000"/>
                <w:sz w:val="18"/>
                <w:szCs w:val="18"/>
              </w:rPr>
              <w:t>效益</w:t>
            </w:r>
            <w:r>
              <w:rPr>
                <w:rFonts w:hint="eastAsia"/>
                <w:b/>
                <w:bCs/>
                <w:color w:val="000000"/>
                <w:sz w:val="18"/>
                <w:szCs w:val="18"/>
              </w:rPr>
              <w:br w:type="textWrapping"/>
            </w:r>
            <w:r>
              <w:rPr>
                <w:rFonts w:hint="eastAsia"/>
                <w:b/>
                <w:bCs/>
                <w:color w:val="000000"/>
                <w:sz w:val="18"/>
                <w:szCs w:val="18"/>
              </w:rPr>
              <w:t>指标</w:t>
            </w:r>
          </w:p>
        </w:tc>
        <w:tc>
          <w:tcPr>
            <w:tcW w:w="229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18"/>
                <w:szCs w:val="18"/>
              </w:rPr>
            </w:pPr>
            <w:r>
              <w:rPr>
                <w:rFonts w:hint="eastAsia"/>
                <w:b/>
                <w:bCs/>
                <w:color w:val="000000"/>
                <w:sz w:val="18"/>
                <w:szCs w:val="18"/>
              </w:rPr>
              <w:t>上年完成指标</w:t>
            </w:r>
          </w:p>
        </w:tc>
        <w:tc>
          <w:tcPr>
            <w:tcW w:w="2358"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18"/>
                <w:szCs w:val="18"/>
              </w:rPr>
            </w:pPr>
            <w:r>
              <w:rPr>
                <w:rFonts w:hint="eastAsia"/>
                <w:b/>
                <w:bCs/>
                <w:color w:val="000000"/>
                <w:sz w:val="18"/>
                <w:szCs w:val="18"/>
              </w:rPr>
              <w:t>计划指标</w:t>
            </w:r>
          </w:p>
        </w:tc>
        <w:tc>
          <w:tcPr>
            <w:tcW w:w="993"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b/>
                <w:bCs/>
                <w:color w:val="000000"/>
                <w:sz w:val="18"/>
                <w:szCs w:val="18"/>
              </w:rPr>
            </w:pPr>
            <w:r>
              <w:rPr>
                <w:rFonts w:hint="eastAsia"/>
                <w:b/>
                <w:bCs/>
                <w:color w:val="000000"/>
                <w:sz w:val="18"/>
                <w:szCs w:val="18"/>
              </w:rPr>
              <w:t>完成指标</w:t>
            </w:r>
          </w:p>
        </w:tc>
        <w:tc>
          <w:tcPr>
            <w:tcW w:w="666"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　</w:t>
            </w:r>
          </w:p>
        </w:tc>
        <w:tc>
          <w:tcPr>
            <w:tcW w:w="649"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　</w:t>
            </w:r>
          </w:p>
        </w:tc>
        <w:tc>
          <w:tcPr>
            <w:tcW w:w="12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　</w:t>
            </w:r>
          </w:p>
        </w:tc>
      </w:tr>
      <w:tr>
        <w:tblPrEx>
          <w:tblLayout w:type="fixed"/>
          <w:tblCellMar>
            <w:top w:w="0" w:type="dxa"/>
            <w:left w:w="108" w:type="dxa"/>
            <w:bottom w:w="0" w:type="dxa"/>
            <w:right w:w="108" w:type="dxa"/>
          </w:tblCellMar>
        </w:tblPrEx>
        <w:trPr>
          <w:trHeight w:val="600"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02"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示范区亩产增效8%以上</w:t>
            </w:r>
          </w:p>
        </w:tc>
        <w:tc>
          <w:tcPr>
            <w:tcW w:w="2293"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≥15%</w:t>
            </w:r>
          </w:p>
        </w:tc>
        <w:tc>
          <w:tcPr>
            <w:tcW w:w="2358"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≥8%</w:t>
            </w:r>
          </w:p>
        </w:tc>
        <w:tc>
          <w:tcPr>
            <w:tcW w:w="993" w:type="dxa"/>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≥20%</w:t>
            </w:r>
          </w:p>
        </w:tc>
        <w:tc>
          <w:tcPr>
            <w:tcW w:w="666"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100%</w:t>
            </w:r>
          </w:p>
        </w:tc>
        <w:tc>
          <w:tcPr>
            <w:tcW w:w="649"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优</w:t>
            </w:r>
          </w:p>
        </w:tc>
        <w:tc>
          <w:tcPr>
            <w:tcW w:w="123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专家验收　</w:t>
            </w:r>
          </w:p>
        </w:tc>
      </w:tr>
      <w:tr>
        <w:tblPrEx>
          <w:tblLayout w:type="fixed"/>
          <w:tblCellMar>
            <w:top w:w="0" w:type="dxa"/>
            <w:left w:w="108" w:type="dxa"/>
            <w:bottom w:w="0" w:type="dxa"/>
            <w:right w:w="108" w:type="dxa"/>
          </w:tblCellMar>
        </w:tblPrEx>
        <w:trPr>
          <w:trHeight w:val="600"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02"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减少化肥农药使用量10%</w:t>
            </w:r>
          </w:p>
        </w:tc>
        <w:tc>
          <w:tcPr>
            <w:tcW w:w="2293"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≤5%</w:t>
            </w:r>
          </w:p>
        </w:tc>
        <w:tc>
          <w:tcPr>
            <w:tcW w:w="2358"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w:t>
            </w:r>
          </w:p>
        </w:tc>
        <w:tc>
          <w:tcPr>
            <w:tcW w:w="993"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w:t>
            </w:r>
          </w:p>
        </w:tc>
        <w:tc>
          <w:tcPr>
            <w:tcW w:w="666"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100%</w:t>
            </w:r>
          </w:p>
        </w:tc>
        <w:tc>
          <w:tcPr>
            <w:tcW w:w="649"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优</w:t>
            </w:r>
          </w:p>
        </w:tc>
        <w:tc>
          <w:tcPr>
            <w:tcW w:w="12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专家验收　</w:t>
            </w:r>
          </w:p>
        </w:tc>
      </w:tr>
      <w:tr>
        <w:tblPrEx>
          <w:tblLayout w:type="fixed"/>
          <w:tblCellMar>
            <w:top w:w="0" w:type="dxa"/>
            <w:left w:w="108" w:type="dxa"/>
            <w:bottom w:w="0" w:type="dxa"/>
            <w:right w:w="108" w:type="dxa"/>
          </w:tblCellMar>
        </w:tblPrEx>
        <w:trPr>
          <w:trHeight w:val="600"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02"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区域良种良法覆盖率</w:t>
            </w:r>
          </w:p>
        </w:tc>
        <w:tc>
          <w:tcPr>
            <w:tcW w:w="2293"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95%</w:t>
            </w:r>
          </w:p>
        </w:tc>
        <w:tc>
          <w:tcPr>
            <w:tcW w:w="2358"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90%</w:t>
            </w:r>
          </w:p>
        </w:tc>
        <w:tc>
          <w:tcPr>
            <w:tcW w:w="993"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100%</w:t>
            </w:r>
          </w:p>
        </w:tc>
        <w:tc>
          <w:tcPr>
            <w:tcW w:w="666"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100%</w:t>
            </w:r>
          </w:p>
        </w:tc>
        <w:tc>
          <w:tcPr>
            <w:tcW w:w="649"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优</w:t>
            </w:r>
          </w:p>
        </w:tc>
        <w:tc>
          <w:tcPr>
            <w:tcW w:w="12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专家验收　</w:t>
            </w:r>
          </w:p>
        </w:tc>
      </w:tr>
      <w:tr>
        <w:tblPrEx>
          <w:tblLayout w:type="fixed"/>
          <w:tblCellMar>
            <w:top w:w="0" w:type="dxa"/>
            <w:left w:w="108" w:type="dxa"/>
            <w:bottom w:w="0" w:type="dxa"/>
            <w:right w:w="108" w:type="dxa"/>
          </w:tblCellMar>
        </w:tblPrEx>
        <w:trPr>
          <w:trHeight w:val="600"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02"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18"/>
                <w:szCs w:val="18"/>
              </w:rPr>
            </w:pPr>
            <w:r>
              <w:rPr>
                <w:rFonts w:hint="eastAsia"/>
                <w:b/>
                <w:bCs/>
                <w:color w:val="000000"/>
                <w:sz w:val="18"/>
                <w:szCs w:val="18"/>
              </w:rPr>
              <w:t>效果指标</w:t>
            </w:r>
          </w:p>
        </w:tc>
        <w:tc>
          <w:tcPr>
            <w:tcW w:w="229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18"/>
                <w:szCs w:val="18"/>
              </w:rPr>
            </w:pPr>
            <w:r>
              <w:rPr>
                <w:rFonts w:hint="eastAsia"/>
                <w:b/>
                <w:bCs/>
                <w:color w:val="000000"/>
                <w:sz w:val="18"/>
                <w:szCs w:val="18"/>
              </w:rPr>
              <w:t>上年完成指标</w:t>
            </w:r>
          </w:p>
        </w:tc>
        <w:tc>
          <w:tcPr>
            <w:tcW w:w="2358"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18"/>
                <w:szCs w:val="18"/>
              </w:rPr>
            </w:pPr>
            <w:r>
              <w:rPr>
                <w:rFonts w:hint="eastAsia"/>
                <w:b/>
                <w:bCs/>
                <w:color w:val="000000"/>
                <w:sz w:val="18"/>
                <w:szCs w:val="18"/>
              </w:rPr>
              <w:t>计划指标</w:t>
            </w:r>
          </w:p>
        </w:tc>
        <w:tc>
          <w:tcPr>
            <w:tcW w:w="99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18"/>
                <w:szCs w:val="18"/>
              </w:rPr>
            </w:pPr>
            <w:r>
              <w:rPr>
                <w:rFonts w:hint="eastAsia"/>
                <w:b/>
                <w:bCs/>
                <w:color w:val="000000"/>
                <w:sz w:val="18"/>
                <w:szCs w:val="18"/>
              </w:rPr>
              <w:t>完成指标</w:t>
            </w:r>
          </w:p>
        </w:tc>
        <w:tc>
          <w:tcPr>
            <w:tcW w:w="666"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　</w:t>
            </w:r>
          </w:p>
        </w:tc>
        <w:tc>
          <w:tcPr>
            <w:tcW w:w="649"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　</w:t>
            </w:r>
          </w:p>
        </w:tc>
        <w:tc>
          <w:tcPr>
            <w:tcW w:w="12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p>
        </w:tc>
      </w:tr>
      <w:tr>
        <w:tblPrEx>
          <w:tblLayout w:type="fixed"/>
          <w:tblCellMar>
            <w:top w:w="0" w:type="dxa"/>
            <w:left w:w="108" w:type="dxa"/>
            <w:bottom w:w="0" w:type="dxa"/>
            <w:right w:w="108" w:type="dxa"/>
          </w:tblCellMar>
        </w:tblPrEx>
        <w:trPr>
          <w:trHeight w:val="600"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0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sz w:val="20"/>
                <w:szCs w:val="20"/>
              </w:rPr>
            </w:pPr>
            <w:r>
              <w:rPr>
                <w:rFonts w:hint="eastAsia"/>
                <w:color w:val="000000"/>
                <w:sz w:val="20"/>
                <w:szCs w:val="20"/>
              </w:rPr>
              <w:t>项目区农民增收比率</w:t>
            </w:r>
          </w:p>
        </w:tc>
        <w:tc>
          <w:tcPr>
            <w:tcW w:w="2293"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w:t>
            </w:r>
          </w:p>
        </w:tc>
        <w:tc>
          <w:tcPr>
            <w:tcW w:w="2358"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9.5</w:t>
            </w:r>
          </w:p>
        </w:tc>
        <w:tc>
          <w:tcPr>
            <w:tcW w:w="993"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w:t>
            </w:r>
          </w:p>
        </w:tc>
        <w:tc>
          <w:tcPr>
            <w:tcW w:w="666"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w:t>
            </w:r>
          </w:p>
        </w:tc>
        <w:tc>
          <w:tcPr>
            <w:tcW w:w="649"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优</w:t>
            </w:r>
          </w:p>
        </w:tc>
        <w:tc>
          <w:tcPr>
            <w:tcW w:w="12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专家验收　</w:t>
            </w:r>
          </w:p>
        </w:tc>
      </w:tr>
      <w:tr>
        <w:tblPrEx>
          <w:tblLayout w:type="fixed"/>
          <w:tblCellMar>
            <w:top w:w="0" w:type="dxa"/>
            <w:left w:w="108" w:type="dxa"/>
            <w:bottom w:w="0" w:type="dxa"/>
            <w:right w:w="108" w:type="dxa"/>
          </w:tblCellMar>
        </w:tblPrEx>
        <w:trPr>
          <w:trHeight w:val="600" w:hRule="atLeast"/>
        </w:trPr>
        <w:tc>
          <w:tcPr>
            <w:tcW w:w="95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02"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农户满意度</w:t>
            </w:r>
          </w:p>
        </w:tc>
        <w:tc>
          <w:tcPr>
            <w:tcW w:w="2293"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95%</w:t>
            </w:r>
          </w:p>
        </w:tc>
        <w:tc>
          <w:tcPr>
            <w:tcW w:w="2358"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95-100%</w:t>
            </w:r>
          </w:p>
        </w:tc>
        <w:tc>
          <w:tcPr>
            <w:tcW w:w="993"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100%</w:t>
            </w:r>
          </w:p>
        </w:tc>
        <w:tc>
          <w:tcPr>
            <w:tcW w:w="666"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100%</w:t>
            </w:r>
          </w:p>
        </w:tc>
        <w:tc>
          <w:tcPr>
            <w:tcW w:w="649" w:type="dxa"/>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优</w:t>
            </w:r>
          </w:p>
        </w:tc>
        <w:tc>
          <w:tcPr>
            <w:tcW w:w="12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专家验收　</w:t>
            </w:r>
          </w:p>
        </w:tc>
      </w:tr>
    </w:tbl>
    <w:p>
      <w:pPr>
        <w:rPr>
          <w:rFonts w:ascii="仿宋_GB2312" w:hAnsi="Times New Roman" w:eastAsia="仿宋_GB2312" w:cs="仿宋_GB2312"/>
          <w:b/>
          <w:sz w:val="32"/>
          <w:szCs w:val="32"/>
        </w:rPr>
      </w:pPr>
    </w:p>
    <w:p>
      <w:pPr>
        <w:ind w:firstLine="643" w:firstLineChars="200"/>
        <w:rPr>
          <w:rFonts w:ascii="仿宋_GB2312" w:hAnsi="Times New Roman" w:eastAsia="仿宋_GB2312" w:cs="Times New Roman"/>
          <w:b/>
          <w:sz w:val="32"/>
          <w:szCs w:val="32"/>
        </w:rPr>
      </w:pPr>
      <w:r>
        <w:rPr>
          <w:rFonts w:hint="eastAsia" w:ascii="仿宋_GB2312" w:hAnsi="Times New Roman" w:eastAsia="仿宋_GB2312" w:cs="仿宋_GB2312"/>
          <w:b/>
          <w:sz w:val="32"/>
          <w:szCs w:val="32"/>
        </w:rPr>
        <w:t>（三）自评组织过程</w:t>
      </w:r>
      <w:r>
        <w:rPr>
          <w:rFonts w:hint="eastAsia" w:ascii="仿宋_GB2312" w:hAnsi="Times New Roman" w:eastAsia="仿宋_GB2312" w:cs="Times New Roman"/>
          <w:b/>
          <w:sz w:val="32"/>
          <w:szCs w:val="32"/>
        </w:rPr>
        <w:t xml:space="preserve"> </w:t>
      </w:r>
    </w:p>
    <w:p>
      <w:pPr>
        <w:ind w:firstLine="643" w:firstLineChars="200"/>
        <w:rPr>
          <w:rFonts w:ascii="仿宋_GB2312" w:hAnsi="Times New Roman" w:eastAsia="仿宋_GB2312" w:cs="仿宋_GB2312"/>
          <w:b/>
          <w:sz w:val="32"/>
          <w:szCs w:val="32"/>
        </w:rPr>
      </w:pPr>
      <w:r>
        <w:rPr>
          <w:rFonts w:hint="eastAsia" w:ascii="仿宋_GB2312" w:hAnsi="Times New Roman" w:eastAsia="仿宋_GB2312" w:cs="Times New Roman"/>
          <w:b/>
          <w:sz w:val="32"/>
          <w:szCs w:val="32"/>
        </w:rPr>
        <w:t>1.</w:t>
      </w:r>
      <w:r>
        <w:rPr>
          <w:rFonts w:hint="eastAsia" w:ascii="仿宋_GB2312" w:hAnsi="Times New Roman" w:eastAsia="仿宋_GB2312" w:cs="仿宋_GB2312"/>
          <w:b/>
          <w:sz w:val="32"/>
          <w:szCs w:val="32"/>
        </w:rPr>
        <w:t>前期准备</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仿宋_GB2312"/>
          <w:sz w:val="32"/>
          <w:szCs w:val="32"/>
        </w:rPr>
        <w:t>201</w:t>
      </w:r>
      <w:r>
        <w:rPr>
          <w:rFonts w:hint="eastAsia" w:ascii="仿宋_GB2312" w:hAnsi="Times New Roman" w:eastAsia="仿宋_GB2312" w:cs="仿宋_GB2312"/>
          <w:sz w:val="32"/>
          <w:szCs w:val="32"/>
          <w:lang w:val="en-US" w:eastAsia="zh-CN"/>
        </w:rPr>
        <w:t>6</w:t>
      </w:r>
      <w:r>
        <w:rPr>
          <w:rFonts w:hint="eastAsia" w:ascii="仿宋_GB2312" w:hAnsi="Times New Roman" w:eastAsia="仿宋_GB2312" w:cs="仿宋_GB2312"/>
          <w:sz w:val="32"/>
          <w:szCs w:val="32"/>
        </w:rPr>
        <w:t>年3月项目任务下达后，进行项目自评工作前期准备工作，收集项目资料等工作。</w:t>
      </w:r>
    </w:p>
    <w:p>
      <w:pPr>
        <w:ind w:firstLine="643" w:firstLineChars="200"/>
        <w:rPr>
          <w:rFonts w:ascii="仿宋_GB2312" w:hAnsi="Times New Roman" w:eastAsia="仿宋_GB2312" w:cs="仿宋_GB2312"/>
          <w:b/>
          <w:sz w:val="32"/>
          <w:szCs w:val="32"/>
        </w:rPr>
      </w:pPr>
      <w:r>
        <w:rPr>
          <w:rFonts w:hint="eastAsia" w:ascii="仿宋_GB2312" w:hAnsi="Times New Roman" w:eastAsia="仿宋_GB2312" w:cs="Times New Roman"/>
          <w:b/>
          <w:sz w:val="32"/>
          <w:szCs w:val="32"/>
        </w:rPr>
        <w:t>2.</w:t>
      </w:r>
      <w:r>
        <w:rPr>
          <w:rFonts w:hint="eastAsia" w:ascii="仿宋_GB2312" w:hAnsi="Times New Roman" w:eastAsia="仿宋_GB2312" w:cs="仿宋_GB2312"/>
          <w:b/>
          <w:sz w:val="32"/>
          <w:szCs w:val="32"/>
        </w:rPr>
        <w:t>组织实施</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201</w:t>
      </w:r>
      <w:r>
        <w:rPr>
          <w:rFonts w:hint="eastAsia" w:ascii="仿宋_GB2312" w:hAnsi="Times New Roman" w:eastAsia="仿宋_GB2312" w:cs="Times New Roman"/>
          <w:sz w:val="32"/>
          <w:szCs w:val="32"/>
          <w:lang w:val="en-US" w:eastAsia="zh-CN"/>
        </w:rPr>
        <w:t>6</w:t>
      </w:r>
      <w:r>
        <w:rPr>
          <w:rFonts w:hint="eastAsia" w:ascii="仿宋_GB2312" w:hAnsi="Times New Roman" w:eastAsia="仿宋_GB2312" w:cs="Times New Roman"/>
          <w:sz w:val="32"/>
          <w:szCs w:val="32"/>
        </w:rPr>
        <w:t>年</w:t>
      </w:r>
      <w:r>
        <w:rPr>
          <w:rFonts w:hint="eastAsia" w:ascii="仿宋_GB2312" w:hAnsi="Times New Roman" w:eastAsia="仿宋_GB2312" w:cs="Times New Roman"/>
          <w:sz w:val="32"/>
          <w:szCs w:val="32"/>
          <w:lang w:val="en-US" w:eastAsia="zh-CN"/>
        </w:rPr>
        <w:t>9</w:t>
      </w:r>
      <w:r>
        <w:rPr>
          <w:rFonts w:hint="eastAsia" w:ascii="仿宋_GB2312" w:hAnsi="Times New Roman" w:eastAsia="仿宋_GB2312" w:cs="Times New Roman"/>
          <w:sz w:val="32"/>
          <w:szCs w:val="32"/>
        </w:rPr>
        <w:t>月组织实施项目自评等工作。</w:t>
      </w:r>
    </w:p>
    <w:p>
      <w:pPr>
        <w:pStyle w:val="7"/>
        <w:numPr>
          <w:ilvl w:val="0"/>
          <w:numId w:val="1"/>
        </w:numPr>
        <w:ind w:firstLineChars="0"/>
        <w:rPr>
          <w:rFonts w:ascii="仿宋_GB2312" w:hAnsi="黑体" w:eastAsia="仿宋_GB2312" w:cs="黑体"/>
          <w:b/>
          <w:sz w:val="32"/>
          <w:szCs w:val="32"/>
        </w:rPr>
      </w:pPr>
      <w:r>
        <w:rPr>
          <w:rFonts w:hint="eastAsia" w:ascii="仿宋_GB2312" w:hAnsi="黑体" w:eastAsia="仿宋_GB2312" w:cs="黑体"/>
          <w:b/>
          <w:sz w:val="32"/>
          <w:szCs w:val="32"/>
        </w:rPr>
        <w:t>评价情况分析及综合评价结论</w:t>
      </w:r>
    </w:p>
    <w:p>
      <w:pPr>
        <w:ind w:firstLine="640" w:firstLineChars="200"/>
        <w:rPr>
          <w:rFonts w:hint="eastAsia" w:ascii="仿宋_GB2312" w:eastAsia="仿宋_GB2312"/>
          <w:sz w:val="32"/>
          <w:szCs w:val="32"/>
        </w:rPr>
      </w:pPr>
      <w:r>
        <w:rPr>
          <w:rFonts w:hint="eastAsia" w:ascii="仿宋_GB2312" w:eastAsia="仿宋_GB2312"/>
          <w:sz w:val="32"/>
          <w:szCs w:val="32"/>
        </w:rPr>
        <w:t>项目实施完成建设马铃薯试验站1个，马铃薯良种繁育基地140亩；项目区示范新品种新技术5个；集中科技培训农民350人，项目区技术培训覆盖率为100%；上报工作动态信息10条；项目区亩增产8%以上，项目完成及时率100%；项目区农民增收比率达到10%；项目区农民满意度100%；化学农药使用量增长率控制在1%以下；选育、栽培、试验和示范推广的品种、技术在示范区域良种良法覆盖率达100%；项目综合评价分为优秀（S≥95）。</w:t>
      </w:r>
    </w:p>
    <w:p>
      <w:pPr>
        <w:ind w:firstLine="640" w:firstLineChars="200"/>
        <w:rPr>
          <w:rFonts w:hint="eastAsia"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6</w:t>
      </w:r>
      <w:r>
        <w:rPr>
          <w:rFonts w:hint="eastAsia" w:ascii="仿宋_GB2312" w:eastAsia="仿宋_GB2312"/>
          <w:sz w:val="32"/>
          <w:szCs w:val="32"/>
        </w:rPr>
        <w:t>年迪庆试验站项目实施认真到位，项目管理严格规范，项目资金使用得当，项目预期目标完成率为100%以上，评价优良。项目从可持续发展角度而言，发挥的社会、经济效益明显，为迪庆马铃薯单产提高、改善品质、持续增产和农民持续增收提供强有力的科技支撑。</w:t>
      </w:r>
    </w:p>
    <w:p>
      <w:pPr>
        <w:ind w:firstLine="643" w:firstLineChars="200"/>
        <w:rPr>
          <w:rFonts w:hint="eastAsia" w:ascii="仿宋_GB2312" w:hAnsi="黑体" w:eastAsia="仿宋_GB2312" w:cs="黑体"/>
          <w:b/>
          <w:sz w:val="32"/>
          <w:szCs w:val="32"/>
        </w:rPr>
      </w:pPr>
      <w:r>
        <w:rPr>
          <w:rFonts w:hint="eastAsia" w:ascii="仿宋_GB2312" w:eastAsia="仿宋_GB2312"/>
          <w:b/>
          <w:sz w:val="32"/>
          <w:szCs w:val="32"/>
        </w:rPr>
        <w:t>三、</w:t>
      </w:r>
      <w:r>
        <w:rPr>
          <w:rFonts w:hint="eastAsia" w:ascii="仿宋_GB2312" w:hAnsi="黑体" w:eastAsia="仿宋_GB2312" w:cs="黑体"/>
          <w:b/>
          <w:sz w:val="32"/>
          <w:szCs w:val="32"/>
        </w:rPr>
        <w:t>存在的问题和整改情况</w:t>
      </w:r>
    </w:p>
    <w:p>
      <w:pPr>
        <w:pStyle w:val="7"/>
        <w:ind w:firstLine="64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我州马铃薯生产基础条件差，抗御自然灾害能力弱，马铃薯新品种应用推广力度还很弱，马铃薯脱毒种薯覆盖率也低下，新技术推广应用面窄，加之市场营销体系不健全，销售渠道不畅通，马铃薯产量和品质潜力没有发挥出来，影响了农民收入。</w:t>
      </w:r>
    </w:p>
    <w:p>
      <w:pPr>
        <w:pStyle w:val="7"/>
        <w:ind w:firstLine="64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再者由于项目资金到位较慢，严重影响了该项目资金使用的及时性。同时建议上级部门继续对马铃薯体系项目予以重视，增加资金投入，我们将按照上级部门的相关要求，切实做好各项工作，圆满完成下年度云南省马铃薯产业技术体系迪庆试验站建设任务指标。</w:t>
      </w:r>
    </w:p>
    <w:p>
      <w:pPr>
        <w:pStyle w:val="7"/>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今后迪庆试验站将集中开展高原藏区马铃薯脱毒技术、脱毒核心苗、脱毒原原种生产技术等高原脱毒马铃薯生产技术研究与示范；马铃薯品种选育、良种繁育、马铃薯脱毒原原种、原种生产等高原藏区马铃薯良种生产基地、马铃薯良种繁育基地建设与示范；加强农民培训，壮大体系队伍，发挥辐射带动作用，加强体系间协作，取长补短，把迪庆藏区建设成为云南省现代农业马铃薯产业技术体系的“马铃薯种业中心”而努力，为迪庆农民增收、精准扶贫做贡献。</w:t>
      </w:r>
    </w:p>
    <w:p>
      <w:pPr>
        <w:pStyle w:val="7"/>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我所在今年的省农业发展专项粮食生产项目中虽然高度重视，全力以赴，但在组织能力、管理能力、项目实施水平等方面与上级粮食生产项目的新要求、新标准还有一定的差距，在今后的工作中，还需进一步深入学习，强化培训，使各方面工作都上一个新的台阶。</w:t>
      </w:r>
    </w:p>
    <w:p>
      <w:pPr>
        <w:pStyle w:val="7"/>
        <w:ind w:firstLine="640"/>
        <w:rPr>
          <w:rFonts w:hint="eastAsia" w:ascii="仿宋_GB2312" w:hAnsi="黑体" w:eastAsia="仿宋_GB2312" w:cs="黑体"/>
          <w:b/>
          <w:sz w:val="32"/>
          <w:szCs w:val="32"/>
        </w:rPr>
      </w:pPr>
      <w:r>
        <w:rPr>
          <w:rFonts w:hint="eastAsia" w:ascii="仿宋_GB2312" w:hAnsi="Times New Roman" w:eastAsia="仿宋_GB2312" w:cs="Times New Roman"/>
          <w:sz w:val="32"/>
          <w:szCs w:val="32"/>
        </w:rPr>
        <w:t>四、</w:t>
      </w:r>
      <w:r>
        <w:rPr>
          <w:rFonts w:hint="eastAsia" w:ascii="仿宋_GB2312" w:hAnsi="黑体" w:eastAsia="仿宋_GB2312" w:cs="黑体"/>
          <w:b/>
          <w:sz w:val="32"/>
          <w:szCs w:val="32"/>
        </w:rPr>
        <w:t>绩效自评结果应用</w:t>
      </w:r>
    </w:p>
    <w:p>
      <w:pPr>
        <w:pStyle w:val="7"/>
        <w:ind w:firstLine="0" w:firstLineChars="0"/>
        <w:rPr>
          <w:rFonts w:ascii="仿宋_GB2312" w:hAnsi="黑体" w:eastAsia="仿宋_GB2312" w:cs="黑体"/>
          <w:sz w:val="32"/>
          <w:szCs w:val="32"/>
        </w:rPr>
      </w:pPr>
      <w:r>
        <w:rPr>
          <w:rFonts w:hint="eastAsia" w:ascii="仿宋_GB2312" w:hAnsi="黑体" w:eastAsia="仿宋_GB2312" w:cs="黑体"/>
          <w:b/>
          <w:sz w:val="32"/>
          <w:szCs w:val="32"/>
        </w:rPr>
        <w:t xml:space="preserve">   </w:t>
      </w:r>
      <w:r>
        <w:rPr>
          <w:rFonts w:hint="eastAsia" w:ascii="仿宋_GB2312" w:hAnsi="黑体" w:eastAsia="仿宋_GB2312" w:cs="黑体"/>
          <w:sz w:val="32"/>
          <w:szCs w:val="32"/>
        </w:rPr>
        <w:t xml:space="preserve"> 绩效评价结果应用，既是开展绩效评价工作的基本前提，又是加强财政支出管理、增强资金绩效理念、合理配置公共资源、优化财政支出结构、强化资金管理水平、提高资金使用效益的重要手段。为使绩效评价结果得到合理应用，应将此次绩效评价结果作为以后年度建设资金分配的重要依据。</w:t>
      </w:r>
    </w:p>
    <w:p>
      <w:pPr>
        <w:pStyle w:val="7"/>
        <w:ind w:firstLine="640"/>
        <w:rPr>
          <w:rFonts w:ascii="仿宋_GB2312" w:hAnsi="黑体" w:eastAsia="仿宋_GB2312" w:cs="黑体"/>
          <w:sz w:val="32"/>
          <w:szCs w:val="32"/>
        </w:rPr>
      </w:pPr>
      <w:r>
        <w:rPr>
          <w:rFonts w:hint="eastAsia" w:ascii="仿宋_GB2312" w:hAnsi="黑体" w:eastAsia="仿宋_GB2312" w:cs="黑体"/>
          <w:sz w:val="32"/>
          <w:szCs w:val="32"/>
        </w:rPr>
        <w:t>绩效评价是对效果的评价，评价结果直接反应项目实施的效益。</w:t>
      </w:r>
    </w:p>
    <w:p>
      <w:pPr>
        <w:pStyle w:val="7"/>
        <w:ind w:left="710" w:firstLine="0" w:firstLineChars="0"/>
        <w:rPr>
          <w:rFonts w:ascii="仿宋_GB2312" w:hAnsi="黑体" w:eastAsia="仿宋_GB2312" w:cs="黑体"/>
          <w:b/>
          <w:sz w:val="32"/>
          <w:szCs w:val="32"/>
        </w:rPr>
      </w:pPr>
      <w:r>
        <w:rPr>
          <w:rFonts w:hint="eastAsia" w:ascii="仿宋_GB2312" w:hAnsi="黑体" w:eastAsia="仿宋_GB2312" w:cs="黑体"/>
          <w:b/>
          <w:sz w:val="32"/>
          <w:szCs w:val="32"/>
        </w:rPr>
        <w:t>五、主要经验及做法</w:t>
      </w:r>
    </w:p>
    <w:p>
      <w:pPr>
        <w:pStyle w:val="7"/>
        <w:ind w:firstLine="0" w:firstLineChars="0"/>
        <w:rPr>
          <w:rFonts w:ascii="仿宋_GB2312" w:hAnsi="黑体" w:eastAsia="仿宋_GB2312" w:cs="黑体"/>
          <w:sz w:val="32"/>
          <w:szCs w:val="32"/>
        </w:rPr>
      </w:pPr>
      <w:r>
        <w:rPr>
          <w:rFonts w:hint="eastAsia" w:ascii="仿宋_GB2312" w:hAnsi="黑体" w:eastAsia="仿宋_GB2312" w:cs="黑体"/>
          <w:b/>
          <w:sz w:val="32"/>
          <w:szCs w:val="32"/>
        </w:rPr>
        <w:t xml:space="preserve">   </w:t>
      </w:r>
      <w:r>
        <w:rPr>
          <w:rFonts w:hint="eastAsia" w:ascii="仿宋_GB2312" w:hAnsi="黑体" w:eastAsia="仿宋_GB2312" w:cs="黑体"/>
          <w:sz w:val="32"/>
          <w:szCs w:val="32"/>
        </w:rPr>
        <w:t xml:space="preserve"> 组织保障是关键。云南省马铃薯产业技术体系迪庆试验站项目得到了州农牧局领导的高度重视，切实加强了组织领导，成立了领导小组，落实责任，强化考核；得到了项目协作单位维西县农科局的大力支持，保障了省级项目落实到位。</w:t>
      </w:r>
    </w:p>
    <w:p>
      <w:pPr>
        <w:pStyle w:val="7"/>
        <w:ind w:firstLine="640"/>
        <w:rPr>
          <w:rFonts w:ascii="仿宋_GB2312" w:hAnsi="黑体" w:eastAsia="仿宋_GB2312" w:cs="黑体"/>
          <w:sz w:val="32"/>
          <w:szCs w:val="32"/>
        </w:rPr>
      </w:pPr>
      <w:r>
        <w:rPr>
          <w:rFonts w:hint="eastAsia" w:ascii="仿宋_GB2312" w:hAnsi="黑体" w:eastAsia="仿宋_GB2312" w:cs="黑体"/>
          <w:sz w:val="32"/>
          <w:szCs w:val="32"/>
        </w:rPr>
        <w:t>政策扶持是动力。实施省农业发展专项粮食生产项目,需要筹集大量的财力和人力,通过政策扶持，在配方施肥、科技培训误工费等方面加以补助，为项目的顺利实施提供动力。</w:t>
      </w:r>
    </w:p>
    <w:p>
      <w:pPr>
        <w:pStyle w:val="7"/>
        <w:ind w:firstLine="640"/>
        <w:rPr>
          <w:rFonts w:hint="eastAsia" w:ascii="仿宋_GB2312" w:hAnsi="黑体" w:eastAsia="仿宋_GB2312" w:cs="黑体"/>
          <w:sz w:val="32"/>
          <w:szCs w:val="32"/>
        </w:rPr>
      </w:pPr>
      <w:r>
        <w:rPr>
          <w:rFonts w:hint="eastAsia" w:ascii="仿宋_GB2312" w:hAnsi="黑体" w:eastAsia="仿宋_GB2312" w:cs="黑体"/>
          <w:sz w:val="32"/>
          <w:szCs w:val="32"/>
        </w:rPr>
        <w:t>优良品种是基础。项目区选择适应性好、抗病性强、丰产性好、优良的品种，为迪庆试验站项目奠定了基础。</w:t>
      </w:r>
    </w:p>
    <w:p>
      <w:pPr>
        <w:pStyle w:val="7"/>
        <w:ind w:firstLine="643"/>
        <w:rPr>
          <w:rFonts w:hint="eastAsia" w:ascii="仿宋_GB2312" w:hAnsi="黑体" w:eastAsia="仿宋_GB2312" w:cs="黑体"/>
          <w:b/>
          <w:sz w:val="32"/>
          <w:szCs w:val="32"/>
        </w:rPr>
      </w:pPr>
      <w:r>
        <w:rPr>
          <w:rFonts w:hint="eastAsia" w:ascii="仿宋_GB2312" w:hAnsi="黑体" w:eastAsia="仿宋_GB2312" w:cs="黑体"/>
          <w:b/>
          <w:sz w:val="32"/>
          <w:szCs w:val="32"/>
        </w:rPr>
        <w:t>六、其他需说明的情况</w:t>
      </w:r>
    </w:p>
    <w:p>
      <w:pPr>
        <w:pStyle w:val="7"/>
        <w:ind w:firstLine="640"/>
        <w:rPr>
          <w:rFonts w:ascii="仿宋_GB2312" w:hAnsi="黑体" w:eastAsia="仿宋_GB2312" w:cs="黑体"/>
          <w:sz w:val="32"/>
          <w:szCs w:val="32"/>
        </w:rPr>
      </w:pPr>
      <w:r>
        <w:rPr>
          <w:rFonts w:hint="eastAsia" w:ascii="仿宋_GB2312" w:hAnsi="黑体" w:eastAsia="仿宋_GB2312" w:cs="黑体"/>
          <w:sz w:val="32"/>
          <w:szCs w:val="32"/>
        </w:rPr>
        <w:t>马铃薯良种繁育基地实施订单农业模式，由试验站提供种子、技术指导，种子全部回收，由试验站组织销售，解除农民后顾之忧，提高马铃薯种薯生产积极性和科学性。对示范村支持、组织、开展统一耕、种、病虫害综合防治技术服务，对示范户应用优良品种和先进实用技术的关键环节物化、技术、产品进行补助，确保项目资金发挥最大的使用效益。</w:t>
      </w:r>
    </w:p>
    <w:p>
      <w:pPr>
        <w:pStyle w:val="7"/>
        <w:ind w:firstLine="0" w:firstLineChars="0"/>
        <w:rPr>
          <w:rFonts w:ascii="仿宋_GB2312" w:hAnsi="Times New Roman" w:eastAsia="仿宋_GB2312" w:cs="Times New Roman"/>
          <w:sz w:val="32"/>
          <w:szCs w:val="32"/>
        </w:rPr>
      </w:pPr>
    </w:p>
    <w:p>
      <w:pPr>
        <w:pStyle w:val="7"/>
        <w:ind w:firstLine="660" w:firstLineChars="0"/>
        <w:rPr>
          <w:rFonts w:ascii="仿宋_GB2312" w:hAnsi="Times New Roman" w:eastAsia="仿宋_GB2312" w:cs="Times New Roman"/>
          <w:sz w:val="32"/>
          <w:szCs w:val="32"/>
        </w:rPr>
      </w:pPr>
    </w:p>
    <w:p>
      <w:pPr>
        <w:pStyle w:val="7"/>
        <w:ind w:firstLine="0" w:firstLineChars="0"/>
        <w:rPr>
          <w:rFonts w:ascii="仿宋_GB2312" w:hAnsi="Times New Roman" w:eastAsia="仿宋_GB2312" w:cs="Times New Roman"/>
          <w:sz w:val="32"/>
          <w:szCs w:val="32"/>
        </w:rPr>
      </w:pPr>
    </w:p>
    <w:p>
      <w:pPr>
        <w:pStyle w:val="7"/>
        <w:ind w:firstLine="660" w:firstLineChars="0"/>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迪庆州农业科学研究所</w:t>
      </w:r>
    </w:p>
    <w:p>
      <w:pPr>
        <w:pStyle w:val="7"/>
        <w:ind w:firstLine="5120" w:firstLineChars="16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201</w:t>
      </w:r>
      <w:bookmarkStart w:id="0" w:name="_GoBack"/>
      <w:bookmarkEnd w:id="0"/>
      <w:r>
        <w:rPr>
          <w:rFonts w:hint="eastAsia" w:ascii="仿宋_GB2312" w:hAnsi="Times New Roman" w:eastAsia="仿宋_GB2312" w:cs="Times New Roman"/>
          <w:sz w:val="32"/>
          <w:szCs w:val="32"/>
        </w:rPr>
        <w:t>7年9月20日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67959"/>
    <w:multiLevelType w:val="multilevel"/>
    <w:tmpl w:val="2BD67959"/>
    <w:lvl w:ilvl="0" w:tentative="0">
      <w:start w:val="1"/>
      <w:numFmt w:val="japaneseCounting"/>
      <w:lvlText w:val="%1、"/>
      <w:lvlJc w:val="left"/>
      <w:pPr>
        <w:ind w:left="1430" w:hanging="720"/>
      </w:pPr>
      <w:rPr>
        <w:rFonts w:hint="default" w:hAnsi="黑体" w:cs="黑体"/>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1">
    <w:nsid w:val="5A7622E3"/>
    <w:multiLevelType w:val="multilevel"/>
    <w:tmpl w:val="5A7622E3"/>
    <w:lvl w:ilvl="0" w:tentative="0">
      <w:start w:val="1"/>
      <w:numFmt w:val="japaneseCounting"/>
      <w:lvlText w:val="（%1）"/>
      <w:lvlJc w:val="left"/>
      <w:pPr>
        <w:ind w:left="1723" w:hanging="1080"/>
      </w:pPr>
      <w:rPr>
        <w:rFonts w:hint="default" w:cs="Calibri"/>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687"/>
    <w:rsid w:val="000016A4"/>
    <w:rsid w:val="000051D9"/>
    <w:rsid w:val="00012667"/>
    <w:rsid w:val="000129EE"/>
    <w:rsid w:val="00012AE1"/>
    <w:rsid w:val="00013341"/>
    <w:rsid w:val="00015C16"/>
    <w:rsid w:val="00016C47"/>
    <w:rsid w:val="00026340"/>
    <w:rsid w:val="00035D95"/>
    <w:rsid w:val="00036697"/>
    <w:rsid w:val="00036FEA"/>
    <w:rsid w:val="00041070"/>
    <w:rsid w:val="00042344"/>
    <w:rsid w:val="000430E9"/>
    <w:rsid w:val="00043BF6"/>
    <w:rsid w:val="000463C0"/>
    <w:rsid w:val="000473D0"/>
    <w:rsid w:val="00051D96"/>
    <w:rsid w:val="00055423"/>
    <w:rsid w:val="00057058"/>
    <w:rsid w:val="00057947"/>
    <w:rsid w:val="00057DE5"/>
    <w:rsid w:val="00061779"/>
    <w:rsid w:val="00063EB1"/>
    <w:rsid w:val="000661BB"/>
    <w:rsid w:val="00066BA4"/>
    <w:rsid w:val="00066E06"/>
    <w:rsid w:val="000677FD"/>
    <w:rsid w:val="00067E32"/>
    <w:rsid w:val="000748A7"/>
    <w:rsid w:val="00074ED6"/>
    <w:rsid w:val="00076B6E"/>
    <w:rsid w:val="00080654"/>
    <w:rsid w:val="00080751"/>
    <w:rsid w:val="0008147D"/>
    <w:rsid w:val="00090CBA"/>
    <w:rsid w:val="00094A1E"/>
    <w:rsid w:val="00097489"/>
    <w:rsid w:val="000A1712"/>
    <w:rsid w:val="000A1D67"/>
    <w:rsid w:val="000A66A0"/>
    <w:rsid w:val="000A6F34"/>
    <w:rsid w:val="000B0189"/>
    <w:rsid w:val="000B27ED"/>
    <w:rsid w:val="000B309A"/>
    <w:rsid w:val="000B34AE"/>
    <w:rsid w:val="000B46A1"/>
    <w:rsid w:val="000C172A"/>
    <w:rsid w:val="000C3BA2"/>
    <w:rsid w:val="000C592B"/>
    <w:rsid w:val="000D097E"/>
    <w:rsid w:val="000D189A"/>
    <w:rsid w:val="000D3E82"/>
    <w:rsid w:val="000D4C6E"/>
    <w:rsid w:val="000D588C"/>
    <w:rsid w:val="000D5AA5"/>
    <w:rsid w:val="000D7067"/>
    <w:rsid w:val="000E118F"/>
    <w:rsid w:val="000E18C5"/>
    <w:rsid w:val="000E2E68"/>
    <w:rsid w:val="000E361F"/>
    <w:rsid w:val="000E6327"/>
    <w:rsid w:val="000F02E8"/>
    <w:rsid w:val="000F3D74"/>
    <w:rsid w:val="000F46A8"/>
    <w:rsid w:val="000F73D8"/>
    <w:rsid w:val="000F7918"/>
    <w:rsid w:val="00101CE0"/>
    <w:rsid w:val="0010603B"/>
    <w:rsid w:val="001063FE"/>
    <w:rsid w:val="0010794B"/>
    <w:rsid w:val="00122580"/>
    <w:rsid w:val="00124CD5"/>
    <w:rsid w:val="00125785"/>
    <w:rsid w:val="00125DDD"/>
    <w:rsid w:val="00126162"/>
    <w:rsid w:val="001272A2"/>
    <w:rsid w:val="001278A5"/>
    <w:rsid w:val="00137825"/>
    <w:rsid w:val="00140FD9"/>
    <w:rsid w:val="001422FE"/>
    <w:rsid w:val="001435F4"/>
    <w:rsid w:val="00143767"/>
    <w:rsid w:val="00144DDE"/>
    <w:rsid w:val="001460A2"/>
    <w:rsid w:val="00146AC0"/>
    <w:rsid w:val="00150940"/>
    <w:rsid w:val="00151203"/>
    <w:rsid w:val="00151A59"/>
    <w:rsid w:val="00156E80"/>
    <w:rsid w:val="00157D72"/>
    <w:rsid w:val="00170038"/>
    <w:rsid w:val="00177260"/>
    <w:rsid w:val="00183C5A"/>
    <w:rsid w:val="00184D02"/>
    <w:rsid w:val="00186283"/>
    <w:rsid w:val="001901B5"/>
    <w:rsid w:val="00193DF0"/>
    <w:rsid w:val="00194ED0"/>
    <w:rsid w:val="00195A74"/>
    <w:rsid w:val="00196E02"/>
    <w:rsid w:val="001A09A1"/>
    <w:rsid w:val="001A13F7"/>
    <w:rsid w:val="001A42A9"/>
    <w:rsid w:val="001A4D42"/>
    <w:rsid w:val="001A5282"/>
    <w:rsid w:val="001A5C3E"/>
    <w:rsid w:val="001B05AF"/>
    <w:rsid w:val="001B0DAF"/>
    <w:rsid w:val="001B470D"/>
    <w:rsid w:val="001B62D1"/>
    <w:rsid w:val="001B70B8"/>
    <w:rsid w:val="001C0B96"/>
    <w:rsid w:val="001C123A"/>
    <w:rsid w:val="001C24B3"/>
    <w:rsid w:val="001C3690"/>
    <w:rsid w:val="001C43BB"/>
    <w:rsid w:val="001C5689"/>
    <w:rsid w:val="001C56F9"/>
    <w:rsid w:val="001C5FFC"/>
    <w:rsid w:val="001D5959"/>
    <w:rsid w:val="001D694F"/>
    <w:rsid w:val="001D6A67"/>
    <w:rsid w:val="001D6E16"/>
    <w:rsid w:val="001D79C1"/>
    <w:rsid w:val="001E062A"/>
    <w:rsid w:val="001E0F99"/>
    <w:rsid w:val="001E11AC"/>
    <w:rsid w:val="001E11D1"/>
    <w:rsid w:val="001F085E"/>
    <w:rsid w:val="001F2421"/>
    <w:rsid w:val="001F3C20"/>
    <w:rsid w:val="001F562F"/>
    <w:rsid w:val="001F566E"/>
    <w:rsid w:val="00205D6D"/>
    <w:rsid w:val="002114C9"/>
    <w:rsid w:val="00213CD0"/>
    <w:rsid w:val="00220D03"/>
    <w:rsid w:val="002268E7"/>
    <w:rsid w:val="00230F12"/>
    <w:rsid w:val="00231C20"/>
    <w:rsid w:val="00236AAE"/>
    <w:rsid w:val="00236BE0"/>
    <w:rsid w:val="00240A99"/>
    <w:rsid w:val="00242297"/>
    <w:rsid w:val="00245589"/>
    <w:rsid w:val="002476AA"/>
    <w:rsid w:val="00247DA3"/>
    <w:rsid w:val="00253773"/>
    <w:rsid w:val="00254089"/>
    <w:rsid w:val="002549D7"/>
    <w:rsid w:val="0025507D"/>
    <w:rsid w:val="00262CD6"/>
    <w:rsid w:val="00264DC6"/>
    <w:rsid w:val="0027077F"/>
    <w:rsid w:val="00270F59"/>
    <w:rsid w:val="002727E8"/>
    <w:rsid w:val="00272C3E"/>
    <w:rsid w:val="002752B0"/>
    <w:rsid w:val="00280AD7"/>
    <w:rsid w:val="00282DE8"/>
    <w:rsid w:val="0028498F"/>
    <w:rsid w:val="002849AD"/>
    <w:rsid w:val="0028770E"/>
    <w:rsid w:val="00291977"/>
    <w:rsid w:val="00291C76"/>
    <w:rsid w:val="002921A2"/>
    <w:rsid w:val="00292D02"/>
    <w:rsid w:val="00294E89"/>
    <w:rsid w:val="002962A9"/>
    <w:rsid w:val="00296674"/>
    <w:rsid w:val="002974F0"/>
    <w:rsid w:val="00297D5A"/>
    <w:rsid w:val="002A231A"/>
    <w:rsid w:val="002A2929"/>
    <w:rsid w:val="002A7687"/>
    <w:rsid w:val="002B13F6"/>
    <w:rsid w:val="002B54D6"/>
    <w:rsid w:val="002C62C3"/>
    <w:rsid w:val="002C6D3A"/>
    <w:rsid w:val="002D159E"/>
    <w:rsid w:val="002D1751"/>
    <w:rsid w:val="002D1800"/>
    <w:rsid w:val="002D4870"/>
    <w:rsid w:val="002D5CA2"/>
    <w:rsid w:val="002D6C98"/>
    <w:rsid w:val="002E2653"/>
    <w:rsid w:val="002E69B9"/>
    <w:rsid w:val="002E7294"/>
    <w:rsid w:val="002F3197"/>
    <w:rsid w:val="002F3B49"/>
    <w:rsid w:val="002F5285"/>
    <w:rsid w:val="00300EC8"/>
    <w:rsid w:val="00302D31"/>
    <w:rsid w:val="00305387"/>
    <w:rsid w:val="00306EEF"/>
    <w:rsid w:val="0031020E"/>
    <w:rsid w:val="0031237A"/>
    <w:rsid w:val="003126ED"/>
    <w:rsid w:val="00320544"/>
    <w:rsid w:val="0032075C"/>
    <w:rsid w:val="00321228"/>
    <w:rsid w:val="00321EB0"/>
    <w:rsid w:val="00327F4E"/>
    <w:rsid w:val="00333024"/>
    <w:rsid w:val="0033390F"/>
    <w:rsid w:val="00340594"/>
    <w:rsid w:val="00340EA3"/>
    <w:rsid w:val="0034193B"/>
    <w:rsid w:val="003439DB"/>
    <w:rsid w:val="00352ECF"/>
    <w:rsid w:val="00354220"/>
    <w:rsid w:val="003572B3"/>
    <w:rsid w:val="00357CE4"/>
    <w:rsid w:val="00357FE6"/>
    <w:rsid w:val="00361EBE"/>
    <w:rsid w:val="0036527A"/>
    <w:rsid w:val="00370916"/>
    <w:rsid w:val="00371F9B"/>
    <w:rsid w:val="00372BFB"/>
    <w:rsid w:val="00374079"/>
    <w:rsid w:val="00381FB8"/>
    <w:rsid w:val="00383013"/>
    <w:rsid w:val="00385C7B"/>
    <w:rsid w:val="00391C00"/>
    <w:rsid w:val="003954DD"/>
    <w:rsid w:val="003A1A0A"/>
    <w:rsid w:val="003A25EB"/>
    <w:rsid w:val="003A4B4A"/>
    <w:rsid w:val="003A7E8F"/>
    <w:rsid w:val="003C2DD5"/>
    <w:rsid w:val="003C2F17"/>
    <w:rsid w:val="003C3832"/>
    <w:rsid w:val="003C465B"/>
    <w:rsid w:val="003C69E4"/>
    <w:rsid w:val="003D0AB6"/>
    <w:rsid w:val="003D1EFE"/>
    <w:rsid w:val="003D3657"/>
    <w:rsid w:val="003D51A5"/>
    <w:rsid w:val="003D751F"/>
    <w:rsid w:val="003E2816"/>
    <w:rsid w:val="003E67A1"/>
    <w:rsid w:val="003F0CE1"/>
    <w:rsid w:val="003F1733"/>
    <w:rsid w:val="003F233E"/>
    <w:rsid w:val="003F33A5"/>
    <w:rsid w:val="003F45CA"/>
    <w:rsid w:val="003F6CC0"/>
    <w:rsid w:val="003F7CD8"/>
    <w:rsid w:val="00402427"/>
    <w:rsid w:val="0040420A"/>
    <w:rsid w:val="004045DF"/>
    <w:rsid w:val="00407042"/>
    <w:rsid w:val="00410E0B"/>
    <w:rsid w:val="004118F8"/>
    <w:rsid w:val="004145E4"/>
    <w:rsid w:val="00416893"/>
    <w:rsid w:val="00417F43"/>
    <w:rsid w:val="004218E6"/>
    <w:rsid w:val="004240E7"/>
    <w:rsid w:val="00424A60"/>
    <w:rsid w:val="004276E4"/>
    <w:rsid w:val="004300BC"/>
    <w:rsid w:val="00431AA7"/>
    <w:rsid w:val="0043470D"/>
    <w:rsid w:val="004357C6"/>
    <w:rsid w:val="004373C9"/>
    <w:rsid w:val="00437D55"/>
    <w:rsid w:val="004415AB"/>
    <w:rsid w:val="00443FEE"/>
    <w:rsid w:val="00445E4C"/>
    <w:rsid w:val="00447040"/>
    <w:rsid w:val="004534AF"/>
    <w:rsid w:val="00453DE9"/>
    <w:rsid w:val="0045429F"/>
    <w:rsid w:val="00455389"/>
    <w:rsid w:val="004559C0"/>
    <w:rsid w:val="004578FB"/>
    <w:rsid w:val="004637D2"/>
    <w:rsid w:val="0046445A"/>
    <w:rsid w:val="00465FD1"/>
    <w:rsid w:val="004664AC"/>
    <w:rsid w:val="00467B01"/>
    <w:rsid w:val="004721C2"/>
    <w:rsid w:val="00474B20"/>
    <w:rsid w:val="00475878"/>
    <w:rsid w:val="0047654E"/>
    <w:rsid w:val="00477CB7"/>
    <w:rsid w:val="0048008E"/>
    <w:rsid w:val="00480BCF"/>
    <w:rsid w:val="0048265E"/>
    <w:rsid w:val="00483A76"/>
    <w:rsid w:val="004850AE"/>
    <w:rsid w:val="004869DA"/>
    <w:rsid w:val="00487662"/>
    <w:rsid w:val="004878C6"/>
    <w:rsid w:val="00490385"/>
    <w:rsid w:val="00490855"/>
    <w:rsid w:val="00494D6D"/>
    <w:rsid w:val="0049618F"/>
    <w:rsid w:val="004A1466"/>
    <w:rsid w:val="004A38FF"/>
    <w:rsid w:val="004A74AD"/>
    <w:rsid w:val="004B0BFE"/>
    <w:rsid w:val="004B36DF"/>
    <w:rsid w:val="004B3E69"/>
    <w:rsid w:val="004B46BB"/>
    <w:rsid w:val="004C12FE"/>
    <w:rsid w:val="004C1D4E"/>
    <w:rsid w:val="004C2C67"/>
    <w:rsid w:val="004C5C46"/>
    <w:rsid w:val="004C7DA8"/>
    <w:rsid w:val="004D1024"/>
    <w:rsid w:val="004D178E"/>
    <w:rsid w:val="004D2801"/>
    <w:rsid w:val="004D4A15"/>
    <w:rsid w:val="004D4B33"/>
    <w:rsid w:val="004D4FDF"/>
    <w:rsid w:val="004D50AC"/>
    <w:rsid w:val="004D51CC"/>
    <w:rsid w:val="004E2902"/>
    <w:rsid w:val="004E42A8"/>
    <w:rsid w:val="004E5134"/>
    <w:rsid w:val="004F1C90"/>
    <w:rsid w:val="004F2C71"/>
    <w:rsid w:val="004F5329"/>
    <w:rsid w:val="004F6161"/>
    <w:rsid w:val="004F7EEA"/>
    <w:rsid w:val="0050265E"/>
    <w:rsid w:val="00502F31"/>
    <w:rsid w:val="00506432"/>
    <w:rsid w:val="005067B4"/>
    <w:rsid w:val="0051008E"/>
    <w:rsid w:val="00512B26"/>
    <w:rsid w:val="00514B4D"/>
    <w:rsid w:val="00515FC1"/>
    <w:rsid w:val="0051753E"/>
    <w:rsid w:val="00523039"/>
    <w:rsid w:val="00523D87"/>
    <w:rsid w:val="00532D25"/>
    <w:rsid w:val="00533597"/>
    <w:rsid w:val="00535240"/>
    <w:rsid w:val="00537A0F"/>
    <w:rsid w:val="0054025E"/>
    <w:rsid w:val="00540FDC"/>
    <w:rsid w:val="005454E9"/>
    <w:rsid w:val="00547A70"/>
    <w:rsid w:val="00551698"/>
    <w:rsid w:val="0055267A"/>
    <w:rsid w:val="00554DB2"/>
    <w:rsid w:val="005554C8"/>
    <w:rsid w:val="00555545"/>
    <w:rsid w:val="00557BD3"/>
    <w:rsid w:val="00560A53"/>
    <w:rsid w:val="00562983"/>
    <w:rsid w:val="005643D2"/>
    <w:rsid w:val="00564EBC"/>
    <w:rsid w:val="00571E5E"/>
    <w:rsid w:val="005727B6"/>
    <w:rsid w:val="005745CE"/>
    <w:rsid w:val="00574C90"/>
    <w:rsid w:val="00577C18"/>
    <w:rsid w:val="00577C8A"/>
    <w:rsid w:val="00581B79"/>
    <w:rsid w:val="00582768"/>
    <w:rsid w:val="00583E6D"/>
    <w:rsid w:val="0058479E"/>
    <w:rsid w:val="00593650"/>
    <w:rsid w:val="00593910"/>
    <w:rsid w:val="0059601F"/>
    <w:rsid w:val="005A0867"/>
    <w:rsid w:val="005A2D58"/>
    <w:rsid w:val="005A5565"/>
    <w:rsid w:val="005A57FA"/>
    <w:rsid w:val="005A64D1"/>
    <w:rsid w:val="005B42F9"/>
    <w:rsid w:val="005B488D"/>
    <w:rsid w:val="005B5432"/>
    <w:rsid w:val="005B604B"/>
    <w:rsid w:val="005C33DA"/>
    <w:rsid w:val="005C47EA"/>
    <w:rsid w:val="005C5342"/>
    <w:rsid w:val="005D0FF8"/>
    <w:rsid w:val="005D29B9"/>
    <w:rsid w:val="005D48B7"/>
    <w:rsid w:val="005E207F"/>
    <w:rsid w:val="005F5970"/>
    <w:rsid w:val="005F7DED"/>
    <w:rsid w:val="006007DE"/>
    <w:rsid w:val="006051A9"/>
    <w:rsid w:val="006055C3"/>
    <w:rsid w:val="00605E12"/>
    <w:rsid w:val="00605E23"/>
    <w:rsid w:val="00607A7D"/>
    <w:rsid w:val="0061035D"/>
    <w:rsid w:val="00610419"/>
    <w:rsid w:val="006141DE"/>
    <w:rsid w:val="00616312"/>
    <w:rsid w:val="006207B6"/>
    <w:rsid w:val="00625720"/>
    <w:rsid w:val="00631CF4"/>
    <w:rsid w:val="006350E3"/>
    <w:rsid w:val="00644C62"/>
    <w:rsid w:val="00646760"/>
    <w:rsid w:val="00655B48"/>
    <w:rsid w:val="00660C60"/>
    <w:rsid w:val="00661A96"/>
    <w:rsid w:val="00674416"/>
    <w:rsid w:val="00680CC7"/>
    <w:rsid w:val="006817E9"/>
    <w:rsid w:val="00687C3C"/>
    <w:rsid w:val="00687F5A"/>
    <w:rsid w:val="00690D0B"/>
    <w:rsid w:val="006A5C4A"/>
    <w:rsid w:val="006A69C3"/>
    <w:rsid w:val="006B1A20"/>
    <w:rsid w:val="006B1AC3"/>
    <w:rsid w:val="006B1C04"/>
    <w:rsid w:val="006B27AA"/>
    <w:rsid w:val="006B3B5C"/>
    <w:rsid w:val="006B50E5"/>
    <w:rsid w:val="006B5AF9"/>
    <w:rsid w:val="006C0A0C"/>
    <w:rsid w:val="006C238A"/>
    <w:rsid w:val="006C386D"/>
    <w:rsid w:val="006C5B26"/>
    <w:rsid w:val="006D0E92"/>
    <w:rsid w:val="006D3336"/>
    <w:rsid w:val="006D53B6"/>
    <w:rsid w:val="006E1F5F"/>
    <w:rsid w:val="006E4296"/>
    <w:rsid w:val="006E6403"/>
    <w:rsid w:val="006E6EAF"/>
    <w:rsid w:val="006F3907"/>
    <w:rsid w:val="006F3BB1"/>
    <w:rsid w:val="006F4492"/>
    <w:rsid w:val="006F508C"/>
    <w:rsid w:val="006F607E"/>
    <w:rsid w:val="006F6D51"/>
    <w:rsid w:val="00700C7E"/>
    <w:rsid w:val="0070331C"/>
    <w:rsid w:val="007074B9"/>
    <w:rsid w:val="00711157"/>
    <w:rsid w:val="00712F08"/>
    <w:rsid w:val="00713BA7"/>
    <w:rsid w:val="007146EB"/>
    <w:rsid w:val="00715AF0"/>
    <w:rsid w:val="0071614C"/>
    <w:rsid w:val="00725DF3"/>
    <w:rsid w:val="007302BB"/>
    <w:rsid w:val="00736130"/>
    <w:rsid w:val="0073680C"/>
    <w:rsid w:val="00740ABE"/>
    <w:rsid w:val="00743A5B"/>
    <w:rsid w:val="00746025"/>
    <w:rsid w:val="0075201B"/>
    <w:rsid w:val="00761411"/>
    <w:rsid w:val="007619CE"/>
    <w:rsid w:val="0076250C"/>
    <w:rsid w:val="00762F35"/>
    <w:rsid w:val="00764C25"/>
    <w:rsid w:val="00765E30"/>
    <w:rsid w:val="0077392C"/>
    <w:rsid w:val="007754EB"/>
    <w:rsid w:val="00777FAC"/>
    <w:rsid w:val="00784376"/>
    <w:rsid w:val="007847D4"/>
    <w:rsid w:val="00786C0F"/>
    <w:rsid w:val="00787759"/>
    <w:rsid w:val="00790ABD"/>
    <w:rsid w:val="00792A83"/>
    <w:rsid w:val="00792BB8"/>
    <w:rsid w:val="0079332E"/>
    <w:rsid w:val="00795D34"/>
    <w:rsid w:val="007970A7"/>
    <w:rsid w:val="0079759A"/>
    <w:rsid w:val="007979EE"/>
    <w:rsid w:val="007A0280"/>
    <w:rsid w:val="007A431A"/>
    <w:rsid w:val="007A485D"/>
    <w:rsid w:val="007B229E"/>
    <w:rsid w:val="007B4134"/>
    <w:rsid w:val="007B49C1"/>
    <w:rsid w:val="007B7190"/>
    <w:rsid w:val="007C3A7F"/>
    <w:rsid w:val="007C3EF6"/>
    <w:rsid w:val="007C5ED7"/>
    <w:rsid w:val="007D28D8"/>
    <w:rsid w:val="007D6483"/>
    <w:rsid w:val="007E0A4B"/>
    <w:rsid w:val="007E1BFD"/>
    <w:rsid w:val="007E2875"/>
    <w:rsid w:val="007E3133"/>
    <w:rsid w:val="007E42D8"/>
    <w:rsid w:val="007E5CA1"/>
    <w:rsid w:val="007E6020"/>
    <w:rsid w:val="007E6467"/>
    <w:rsid w:val="007E64B8"/>
    <w:rsid w:val="007E6CC5"/>
    <w:rsid w:val="007E7999"/>
    <w:rsid w:val="007F31B7"/>
    <w:rsid w:val="007F42CA"/>
    <w:rsid w:val="007F44F6"/>
    <w:rsid w:val="007F4AD2"/>
    <w:rsid w:val="007F6966"/>
    <w:rsid w:val="007F7861"/>
    <w:rsid w:val="007F7E1C"/>
    <w:rsid w:val="008006B5"/>
    <w:rsid w:val="00802595"/>
    <w:rsid w:val="00804B81"/>
    <w:rsid w:val="00805C51"/>
    <w:rsid w:val="008106B4"/>
    <w:rsid w:val="00812B62"/>
    <w:rsid w:val="0081337E"/>
    <w:rsid w:val="00814095"/>
    <w:rsid w:val="00817A0C"/>
    <w:rsid w:val="00820C2A"/>
    <w:rsid w:val="00824ED6"/>
    <w:rsid w:val="00833040"/>
    <w:rsid w:val="00833845"/>
    <w:rsid w:val="00834D49"/>
    <w:rsid w:val="00836698"/>
    <w:rsid w:val="00836B72"/>
    <w:rsid w:val="0084115F"/>
    <w:rsid w:val="00843EBB"/>
    <w:rsid w:val="00845FF1"/>
    <w:rsid w:val="0085072C"/>
    <w:rsid w:val="00854D8F"/>
    <w:rsid w:val="00863295"/>
    <w:rsid w:val="0086460C"/>
    <w:rsid w:val="00865B00"/>
    <w:rsid w:val="00870514"/>
    <w:rsid w:val="00872043"/>
    <w:rsid w:val="00883DE7"/>
    <w:rsid w:val="00886783"/>
    <w:rsid w:val="00887CBC"/>
    <w:rsid w:val="00890606"/>
    <w:rsid w:val="0089298D"/>
    <w:rsid w:val="00896997"/>
    <w:rsid w:val="008A14E2"/>
    <w:rsid w:val="008A2621"/>
    <w:rsid w:val="008A431E"/>
    <w:rsid w:val="008A6B1C"/>
    <w:rsid w:val="008B286B"/>
    <w:rsid w:val="008B7C1A"/>
    <w:rsid w:val="008C4861"/>
    <w:rsid w:val="008C59C6"/>
    <w:rsid w:val="008C5F66"/>
    <w:rsid w:val="008D2520"/>
    <w:rsid w:val="008D3333"/>
    <w:rsid w:val="008D33A0"/>
    <w:rsid w:val="008D3F14"/>
    <w:rsid w:val="008D5DF6"/>
    <w:rsid w:val="008D7198"/>
    <w:rsid w:val="008E35E1"/>
    <w:rsid w:val="008E3B39"/>
    <w:rsid w:val="008E3CB7"/>
    <w:rsid w:val="008E5A0B"/>
    <w:rsid w:val="008E77B3"/>
    <w:rsid w:val="008F5262"/>
    <w:rsid w:val="008F5C1D"/>
    <w:rsid w:val="008F7299"/>
    <w:rsid w:val="00900019"/>
    <w:rsid w:val="00901B82"/>
    <w:rsid w:val="009034F0"/>
    <w:rsid w:val="00903EB0"/>
    <w:rsid w:val="0090458D"/>
    <w:rsid w:val="00904D96"/>
    <w:rsid w:val="00911A21"/>
    <w:rsid w:val="00911A52"/>
    <w:rsid w:val="009129A5"/>
    <w:rsid w:val="00913D53"/>
    <w:rsid w:val="009144F8"/>
    <w:rsid w:val="009171C1"/>
    <w:rsid w:val="00923591"/>
    <w:rsid w:val="00923F98"/>
    <w:rsid w:val="009304EB"/>
    <w:rsid w:val="00930626"/>
    <w:rsid w:val="009316BF"/>
    <w:rsid w:val="009346B0"/>
    <w:rsid w:val="009376EA"/>
    <w:rsid w:val="00944A79"/>
    <w:rsid w:val="00946AC1"/>
    <w:rsid w:val="00950906"/>
    <w:rsid w:val="009513F1"/>
    <w:rsid w:val="009525F3"/>
    <w:rsid w:val="00952FF3"/>
    <w:rsid w:val="0095678B"/>
    <w:rsid w:val="00957370"/>
    <w:rsid w:val="009573D5"/>
    <w:rsid w:val="00962C2F"/>
    <w:rsid w:val="00967F95"/>
    <w:rsid w:val="0097345E"/>
    <w:rsid w:val="00976EC6"/>
    <w:rsid w:val="0097701D"/>
    <w:rsid w:val="00977CEA"/>
    <w:rsid w:val="00982811"/>
    <w:rsid w:val="009858AF"/>
    <w:rsid w:val="00985A20"/>
    <w:rsid w:val="009944F8"/>
    <w:rsid w:val="00996123"/>
    <w:rsid w:val="009A29FC"/>
    <w:rsid w:val="009A2C91"/>
    <w:rsid w:val="009A3517"/>
    <w:rsid w:val="009A5616"/>
    <w:rsid w:val="009A6681"/>
    <w:rsid w:val="009B576A"/>
    <w:rsid w:val="009B7DFB"/>
    <w:rsid w:val="009C2F86"/>
    <w:rsid w:val="009C7506"/>
    <w:rsid w:val="009C7E96"/>
    <w:rsid w:val="009D7A18"/>
    <w:rsid w:val="009E6B9A"/>
    <w:rsid w:val="009F66CE"/>
    <w:rsid w:val="009F722F"/>
    <w:rsid w:val="00A0558C"/>
    <w:rsid w:val="00A10986"/>
    <w:rsid w:val="00A14ABD"/>
    <w:rsid w:val="00A1564F"/>
    <w:rsid w:val="00A15DD5"/>
    <w:rsid w:val="00A239C8"/>
    <w:rsid w:val="00A247E6"/>
    <w:rsid w:val="00A2546E"/>
    <w:rsid w:val="00A3192D"/>
    <w:rsid w:val="00A373E0"/>
    <w:rsid w:val="00A3746D"/>
    <w:rsid w:val="00A40DD3"/>
    <w:rsid w:val="00A42294"/>
    <w:rsid w:val="00A46F83"/>
    <w:rsid w:val="00A51539"/>
    <w:rsid w:val="00A51570"/>
    <w:rsid w:val="00A560F7"/>
    <w:rsid w:val="00A57854"/>
    <w:rsid w:val="00A578DD"/>
    <w:rsid w:val="00A60026"/>
    <w:rsid w:val="00A6052E"/>
    <w:rsid w:val="00A6183F"/>
    <w:rsid w:val="00A64A39"/>
    <w:rsid w:val="00A64FDF"/>
    <w:rsid w:val="00A65C7C"/>
    <w:rsid w:val="00A666EF"/>
    <w:rsid w:val="00A67304"/>
    <w:rsid w:val="00A721A7"/>
    <w:rsid w:val="00A727A2"/>
    <w:rsid w:val="00A7311A"/>
    <w:rsid w:val="00A7424B"/>
    <w:rsid w:val="00A752C8"/>
    <w:rsid w:val="00A7685E"/>
    <w:rsid w:val="00A81734"/>
    <w:rsid w:val="00A81BC1"/>
    <w:rsid w:val="00A90752"/>
    <w:rsid w:val="00A944BF"/>
    <w:rsid w:val="00A94CF4"/>
    <w:rsid w:val="00A95A12"/>
    <w:rsid w:val="00AA66AB"/>
    <w:rsid w:val="00AB613E"/>
    <w:rsid w:val="00AC3C88"/>
    <w:rsid w:val="00AD1D51"/>
    <w:rsid w:val="00AD29A4"/>
    <w:rsid w:val="00AD3661"/>
    <w:rsid w:val="00AD3E1C"/>
    <w:rsid w:val="00AD75C1"/>
    <w:rsid w:val="00AE1646"/>
    <w:rsid w:val="00AE1B5A"/>
    <w:rsid w:val="00AE1E41"/>
    <w:rsid w:val="00AE5615"/>
    <w:rsid w:val="00AF07A5"/>
    <w:rsid w:val="00AF3D75"/>
    <w:rsid w:val="00AF71F7"/>
    <w:rsid w:val="00AF7765"/>
    <w:rsid w:val="00B01740"/>
    <w:rsid w:val="00B026E1"/>
    <w:rsid w:val="00B02D42"/>
    <w:rsid w:val="00B04920"/>
    <w:rsid w:val="00B04E0C"/>
    <w:rsid w:val="00B059AE"/>
    <w:rsid w:val="00B05C26"/>
    <w:rsid w:val="00B05CFA"/>
    <w:rsid w:val="00B06361"/>
    <w:rsid w:val="00B11856"/>
    <w:rsid w:val="00B13BEA"/>
    <w:rsid w:val="00B15FF1"/>
    <w:rsid w:val="00B166FA"/>
    <w:rsid w:val="00B172EA"/>
    <w:rsid w:val="00B2097A"/>
    <w:rsid w:val="00B22121"/>
    <w:rsid w:val="00B23E26"/>
    <w:rsid w:val="00B24E24"/>
    <w:rsid w:val="00B312F2"/>
    <w:rsid w:val="00B32986"/>
    <w:rsid w:val="00B34461"/>
    <w:rsid w:val="00B35DB1"/>
    <w:rsid w:val="00B409E9"/>
    <w:rsid w:val="00B416D9"/>
    <w:rsid w:val="00B46372"/>
    <w:rsid w:val="00B5031D"/>
    <w:rsid w:val="00B5055C"/>
    <w:rsid w:val="00B50CAE"/>
    <w:rsid w:val="00B557F5"/>
    <w:rsid w:val="00B6003F"/>
    <w:rsid w:val="00B6531B"/>
    <w:rsid w:val="00B656FD"/>
    <w:rsid w:val="00B702AE"/>
    <w:rsid w:val="00B70757"/>
    <w:rsid w:val="00B75315"/>
    <w:rsid w:val="00B770B0"/>
    <w:rsid w:val="00B770E4"/>
    <w:rsid w:val="00B80738"/>
    <w:rsid w:val="00B831D0"/>
    <w:rsid w:val="00B83799"/>
    <w:rsid w:val="00B86063"/>
    <w:rsid w:val="00B866D5"/>
    <w:rsid w:val="00B903F7"/>
    <w:rsid w:val="00B9382B"/>
    <w:rsid w:val="00B95CD2"/>
    <w:rsid w:val="00B96F73"/>
    <w:rsid w:val="00BA327F"/>
    <w:rsid w:val="00BA4108"/>
    <w:rsid w:val="00BA61DC"/>
    <w:rsid w:val="00BA6D9F"/>
    <w:rsid w:val="00BA79AB"/>
    <w:rsid w:val="00BB02CF"/>
    <w:rsid w:val="00BB0818"/>
    <w:rsid w:val="00BB0B86"/>
    <w:rsid w:val="00BB740A"/>
    <w:rsid w:val="00BC05F9"/>
    <w:rsid w:val="00BC1410"/>
    <w:rsid w:val="00BC2521"/>
    <w:rsid w:val="00BC39C9"/>
    <w:rsid w:val="00BC3D52"/>
    <w:rsid w:val="00BC5D28"/>
    <w:rsid w:val="00BD2CFA"/>
    <w:rsid w:val="00BD3802"/>
    <w:rsid w:val="00BD4834"/>
    <w:rsid w:val="00BE1793"/>
    <w:rsid w:val="00BE4B43"/>
    <w:rsid w:val="00BE5CF4"/>
    <w:rsid w:val="00BE6BC6"/>
    <w:rsid w:val="00BF19C8"/>
    <w:rsid w:val="00BF22F3"/>
    <w:rsid w:val="00C02755"/>
    <w:rsid w:val="00C032DE"/>
    <w:rsid w:val="00C0599C"/>
    <w:rsid w:val="00C07F1D"/>
    <w:rsid w:val="00C11B6E"/>
    <w:rsid w:val="00C135F9"/>
    <w:rsid w:val="00C16CEE"/>
    <w:rsid w:val="00C24AEB"/>
    <w:rsid w:val="00C2536A"/>
    <w:rsid w:val="00C31658"/>
    <w:rsid w:val="00C321F1"/>
    <w:rsid w:val="00C34A69"/>
    <w:rsid w:val="00C37113"/>
    <w:rsid w:val="00C4027D"/>
    <w:rsid w:val="00C40621"/>
    <w:rsid w:val="00C40F80"/>
    <w:rsid w:val="00C44853"/>
    <w:rsid w:val="00C44E35"/>
    <w:rsid w:val="00C50827"/>
    <w:rsid w:val="00C50F6F"/>
    <w:rsid w:val="00C5110D"/>
    <w:rsid w:val="00C5413E"/>
    <w:rsid w:val="00C5671D"/>
    <w:rsid w:val="00C572F0"/>
    <w:rsid w:val="00C735F7"/>
    <w:rsid w:val="00C744E0"/>
    <w:rsid w:val="00C74A5E"/>
    <w:rsid w:val="00C766B9"/>
    <w:rsid w:val="00C8407E"/>
    <w:rsid w:val="00C87366"/>
    <w:rsid w:val="00C9116E"/>
    <w:rsid w:val="00C9148C"/>
    <w:rsid w:val="00C91521"/>
    <w:rsid w:val="00C949CB"/>
    <w:rsid w:val="00C94CF5"/>
    <w:rsid w:val="00CA68E7"/>
    <w:rsid w:val="00CB043C"/>
    <w:rsid w:val="00CB1426"/>
    <w:rsid w:val="00CB7554"/>
    <w:rsid w:val="00CB7804"/>
    <w:rsid w:val="00CC2AE7"/>
    <w:rsid w:val="00CD1D38"/>
    <w:rsid w:val="00CD1FAB"/>
    <w:rsid w:val="00CD2472"/>
    <w:rsid w:val="00CD5BDC"/>
    <w:rsid w:val="00CD6DAD"/>
    <w:rsid w:val="00CD74A2"/>
    <w:rsid w:val="00CE08B2"/>
    <w:rsid w:val="00CE179B"/>
    <w:rsid w:val="00CE1946"/>
    <w:rsid w:val="00CE288E"/>
    <w:rsid w:val="00CE530E"/>
    <w:rsid w:val="00CE603E"/>
    <w:rsid w:val="00CF1A64"/>
    <w:rsid w:val="00CF6271"/>
    <w:rsid w:val="00CF6C4B"/>
    <w:rsid w:val="00CF72B7"/>
    <w:rsid w:val="00D02C17"/>
    <w:rsid w:val="00D032F2"/>
    <w:rsid w:val="00D1269B"/>
    <w:rsid w:val="00D13526"/>
    <w:rsid w:val="00D144A3"/>
    <w:rsid w:val="00D14BDD"/>
    <w:rsid w:val="00D14D53"/>
    <w:rsid w:val="00D1599A"/>
    <w:rsid w:val="00D2322D"/>
    <w:rsid w:val="00D300ED"/>
    <w:rsid w:val="00D31035"/>
    <w:rsid w:val="00D320B0"/>
    <w:rsid w:val="00D32237"/>
    <w:rsid w:val="00D37EAF"/>
    <w:rsid w:val="00D404F7"/>
    <w:rsid w:val="00D42CF8"/>
    <w:rsid w:val="00D43A67"/>
    <w:rsid w:val="00D4489D"/>
    <w:rsid w:val="00D44A65"/>
    <w:rsid w:val="00D452E9"/>
    <w:rsid w:val="00D46812"/>
    <w:rsid w:val="00D5312B"/>
    <w:rsid w:val="00D55B34"/>
    <w:rsid w:val="00D5784C"/>
    <w:rsid w:val="00D61EBA"/>
    <w:rsid w:val="00D6236F"/>
    <w:rsid w:val="00D647F5"/>
    <w:rsid w:val="00D66E87"/>
    <w:rsid w:val="00D67F0A"/>
    <w:rsid w:val="00D73908"/>
    <w:rsid w:val="00D74022"/>
    <w:rsid w:val="00D770C4"/>
    <w:rsid w:val="00D83CD9"/>
    <w:rsid w:val="00D84160"/>
    <w:rsid w:val="00D8631E"/>
    <w:rsid w:val="00D86677"/>
    <w:rsid w:val="00D90F5A"/>
    <w:rsid w:val="00D937FA"/>
    <w:rsid w:val="00D93EDA"/>
    <w:rsid w:val="00DA169F"/>
    <w:rsid w:val="00DA2156"/>
    <w:rsid w:val="00DA3518"/>
    <w:rsid w:val="00DA4AD6"/>
    <w:rsid w:val="00DA6694"/>
    <w:rsid w:val="00DA6C19"/>
    <w:rsid w:val="00DB4581"/>
    <w:rsid w:val="00DC117F"/>
    <w:rsid w:val="00DC1FF8"/>
    <w:rsid w:val="00DC74C2"/>
    <w:rsid w:val="00DD744A"/>
    <w:rsid w:val="00DE0144"/>
    <w:rsid w:val="00DE1C0A"/>
    <w:rsid w:val="00DE46D0"/>
    <w:rsid w:val="00DE5D00"/>
    <w:rsid w:val="00DE632C"/>
    <w:rsid w:val="00DF00C9"/>
    <w:rsid w:val="00DF13A8"/>
    <w:rsid w:val="00DF244D"/>
    <w:rsid w:val="00DF4733"/>
    <w:rsid w:val="00DF50A5"/>
    <w:rsid w:val="00DF6295"/>
    <w:rsid w:val="00DF6973"/>
    <w:rsid w:val="00DF7470"/>
    <w:rsid w:val="00DF74F1"/>
    <w:rsid w:val="00DF7E5F"/>
    <w:rsid w:val="00E02732"/>
    <w:rsid w:val="00E07B50"/>
    <w:rsid w:val="00E116D3"/>
    <w:rsid w:val="00E13EF9"/>
    <w:rsid w:val="00E245C1"/>
    <w:rsid w:val="00E33819"/>
    <w:rsid w:val="00E34537"/>
    <w:rsid w:val="00E34FEF"/>
    <w:rsid w:val="00E35A29"/>
    <w:rsid w:val="00E35E63"/>
    <w:rsid w:val="00E45C54"/>
    <w:rsid w:val="00E46445"/>
    <w:rsid w:val="00E4775A"/>
    <w:rsid w:val="00E50A27"/>
    <w:rsid w:val="00E54F0F"/>
    <w:rsid w:val="00E60644"/>
    <w:rsid w:val="00E617D7"/>
    <w:rsid w:val="00E629F6"/>
    <w:rsid w:val="00E640B7"/>
    <w:rsid w:val="00E730AC"/>
    <w:rsid w:val="00E736DD"/>
    <w:rsid w:val="00E736EB"/>
    <w:rsid w:val="00E75DA1"/>
    <w:rsid w:val="00E76C01"/>
    <w:rsid w:val="00E82B71"/>
    <w:rsid w:val="00E835D5"/>
    <w:rsid w:val="00E843D3"/>
    <w:rsid w:val="00E90F20"/>
    <w:rsid w:val="00E93320"/>
    <w:rsid w:val="00E94AE9"/>
    <w:rsid w:val="00EA2C22"/>
    <w:rsid w:val="00EA35BD"/>
    <w:rsid w:val="00EA5CCB"/>
    <w:rsid w:val="00EA7918"/>
    <w:rsid w:val="00EB3C5B"/>
    <w:rsid w:val="00ED3529"/>
    <w:rsid w:val="00ED5A86"/>
    <w:rsid w:val="00ED665A"/>
    <w:rsid w:val="00EE220F"/>
    <w:rsid w:val="00EE2231"/>
    <w:rsid w:val="00EE43CE"/>
    <w:rsid w:val="00EE596A"/>
    <w:rsid w:val="00EE6DCD"/>
    <w:rsid w:val="00EF1732"/>
    <w:rsid w:val="00EF5A97"/>
    <w:rsid w:val="00F0069C"/>
    <w:rsid w:val="00F02FD5"/>
    <w:rsid w:val="00F059B7"/>
    <w:rsid w:val="00F06A35"/>
    <w:rsid w:val="00F07F63"/>
    <w:rsid w:val="00F11F23"/>
    <w:rsid w:val="00F128BA"/>
    <w:rsid w:val="00F12954"/>
    <w:rsid w:val="00F14B1F"/>
    <w:rsid w:val="00F15C3B"/>
    <w:rsid w:val="00F15D7F"/>
    <w:rsid w:val="00F1792C"/>
    <w:rsid w:val="00F21840"/>
    <w:rsid w:val="00F22A31"/>
    <w:rsid w:val="00F254B4"/>
    <w:rsid w:val="00F2667D"/>
    <w:rsid w:val="00F31365"/>
    <w:rsid w:val="00F367E4"/>
    <w:rsid w:val="00F418AC"/>
    <w:rsid w:val="00F46930"/>
    <w:rsid w:val="00F51CD9"/>
    <w:rsid w:val="00F52426"/>
    <w:rsid w:val="00F53F8D"/>
    <w:rsid w:val="00F54312"/>
    <w:rsid w:val="00F55A33"/>
    <w:rsid w:val="00F6134A"/>
    <w:rsid w:val="00F72A00"/>
    <w:rsid w:val="00F74A48"/>
    <w:rsid w:val="00F76648"/>
    <w:rsid w:val="00F806EA"/>
    <w:rsid w:val="00F817E2"/>
    <w:rsid w:val="00F82814"/>
    <w:rsid w:val="00F857E7"/>
    <w:rsid w:val="00F96428"/>
    <w:rsid w:val="00F96B05"/>
    <w:rsid w:val="00F97E4C"/>
    <w:rsid w:val="00FA04D0"/>
    <w:rsid w:val="00FA50AC"/>
    <w:rsid w:val="00FA527C"/>
    <w:rsid w:val="00FA55FA"/>
    <w:rsid w:val="00FA68FB"/>
    <w:rsid w:val="00FA7F0B"/>
    <w:rsid w:val="00FB2798"/>
    <w:rsid w:val="00FB71A5"/>
    <w:rsid w:val="00FC13B8"/>
    <w:rsid w:val="00FC168A"/>
    <w:rsid w:val="00FC3AB4"/>
    <w:rsid w:val="00FD12F0"/>
    <w:rsid w:val="00FD20CE"/>
    <w:rsid w:val="00FD59EC"/>
    <w:rsid w:val="00FD651B"/>
    <w:rsid w:val="00FE01A0"/>
    <w:rsid w:val="00FE0B70"/>
    <w:rsid w:val="00FE1969"/>
    <w:rsid w:val="00FE7FEA"/>
    <w:rsid w:val="00FF5121"/>
    <w:rsid w:val="00FF698A"/>
    <w:rsid w:val="00FF7B74"/>
    <w:rsid w:val="218F2AC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
    <w:name w:val="列出段落1"/>
    <w:basedOn w:val="1"/>
    <w:qFormat/>
    <w:uiPriority w:val="0"/>
    <w:pPr>
      <w:ind w:firstLine="420" w:firstLineChars="200"/>
    </w:pPr>
  </w:style>
  <w:style w:type="paragraph" w:customStyle="1" w:styleId="8">
    <w:name w:val="List Paragraph"/>
    <w:basedOn w:val="1"/>
    <w:qFormat/>
    <w:uiPriority w:val="34"/>
    <w:pPr>
      <w:ind w:firstLine="420" w:firstLineChars="200"/>
    </w:pPr>
  </w:style>
  <w:style w:type="character" w:customStyle="1" w:styleId="9">
    <w:name w:val="页眉 Char"/>
    <w:basedOn w:val="4"/>
    <w:link w:val="3"/>
    <w:uiPriority w:val="99"/>
    <w:rPr>
      <w:rFonts w:ascii="Calibri" w:hAnsi="Calibri" w:eastAsia="宋体" w:cs="Calibri"/>
      <w:sz w:val="18"/>
      <w:szCs w:val="18"/>
    </w:rPr>
  </w:style>
  <w:style w:type="character" w:customStyle="1" w:styleId="10">
    <w:name w:val="页脚 Char"/>
    <w:basedOn w:val="4"/>
    <w:link w:val="2"/>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Pages>
  <Words>511</Words>
  <Characters>2919</Characters>
  <Lines>24</Lines>
  <Paragraphs>6</Paragraphs>
  <TotalTime>0</TotalTime>
  <ScaleCrop>false</ScaleCrop>
  <LinksUpToDate>false</LinksUpToDate>
  <CharactersWithSpaces>3424</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2017-09-12T00:32:00Z</dcterms:created>
  <dc:creator>????</dc:creator>
  <cp:lastModifiedBy>Administrator</cp:lastModifiedBy>
  <dcterms:modified xsi:type="dcterms:W3CDTF">2017-09-30T02:37:43Z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