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Times New Roman" w:eastAsia="仿宋_GB2312" w:cs="方正小标宋简体"/>
          <w:b/>
          <w:sz w:val="36"/>
          <w:szCs w:val="36"/>
        </w:rPr>
      </w:pPr>
    </w:p>
    <w:p>
      <w:pPr>
        <w:jc w:val="center"/>
        <w:rPr>
          <w:rFonts w:ascii="仿宋_GB2312" w:hAnsi="Times New Roman" w:eastAsia="仿宋_GB2312" w:cs="方正小标宋简体"/>
          <w:b/>
          <w:sz w:val="36"/>
          <w:szCs w:val="36"/>
        </w:rPr>
      </w:pPr>
      <w:r>
        <w:rPr>
          <w:rFonts w:hint="eastAsia" w:ascii="仿宋_GB2312" w:hAnsi="Times New Roman" w:eastAsia="仿宋_GB2312" w:cs="方正小标宋简体"/>
          <w:b/>
          <w:sz w:val="36"/>
          <w:szCs w:val="36"/>
        </w:rPr>
        <w:t>省级部门整体支出绩效自评报告</w:t>
      </w:r>
    </w:p>
    <w:p>
      <w:pPr>
        <w:jc w:val="center"/>
        <w:rPr>
          <w:rFonts w:ascii="仿宋_GB2312" w:hAnsi="Times New Roman" w:eastAsia="仿宋_GB2312" w:cs="方正小标宋简体"/>
          <w:b/>
          <w:sz w:val="36"/>
          <w:szCs w:val="36"/>
        </w:rPr>
      </w:pPr>
    </w:p>
    <w:p>
      <w:pPr>
        <w:jc w:val="center"/>
        <w:rPr>
          <w:rFonts w:ascii="仿宋_GB2312" w:hAnsi="Times New Roman" w:eastAsia="仿宋_GB2312" w:cs="Times New Roman"/>
          <w:b/>
          <w:sz w:val="36"/>
          <w:szCs w:val="36"/>
        </w:rPr>
      </w:pPr>
    </w:p>
    <w:p>
      <w:pPr>
        <w:pStyle w:val="7"/>
        <w:numPr>
          <w:ilvl w:val="0"/>
          <w:numId w:val="1"/>
        </w:numPr>
        <w:ind w:firstLineChars="0"/>
        <w:rPr>
          <w:rFonts w:ascii="仿宋_GB2312" w:hAnsi="Times New Roman" w:eastAsia="仿宋_GB2312" w:cs="Times New Roman"/>
          <w:b/>
          <w:sz w:val="32"/>
          <w:szCs w:val="32"/>
        </w:rPr>
      </w:pPr>
      <w:r>
        <w:rPr>
          <w:rFonts w:hint="eastAsia" w:ascii="仿宋_GB2312" w:hAnsi="黑体" w:eastAsia="仿宋_GB2312" w:cs="黑体"/>
          <w:b/>
          <w:sz w:val="32"/>
          <w:szCs w:val="32"/>
        </w:rPr>
        <w:t>部门基本情况</w:t>
      </w:r>
    </w:p>
    <w:p>
      <w:pPr>
        <w:pStyle w:val="8"/>
        <w:numPr>
          <w:ilvl w:val="0"/>
          <w:numId w:val="2"/>
        </w:numPr>
        <w:ind w:firstLineChars="0"/>
        <w:rPr>
          <w:rFonts w:ascii="仿宋_GB2312" w:hAnsi="Times New Roman" w:eastAsia="仿宋_GB2312" w:cs="仿宋_GB2312"/>
          <w:b/>
          <w:sz w:val="32"/>
          <w:szCs w:val="32"/>
        </w:rPr>
      </w:pPr>
      <w:r>
        <w:fldChar w:fldCharType="begin"/>
      </w:r>
      <w:r>
        <w:instrText xml:space="preserve"> HYPERLINK \l "_Toc434746187" </w:instrText>
      </w:r>
      <w:r>
        <w:fldChar w:fldCharType="separate"/>
      </w:r>
      <w:r>
        <w:rPr>
          <w:rFonts w:hint="eastAsia" w:ascii="仿宋_GB2312" w:hAnsi="Times New Roman" w:eastAsia="仿宋_GB2312"/>
          <w:b/>
          <w:sz w:val="32"/>
          <w:szCs w:val="32"/>
        </w:rPr>
        <w:t>部门概况</w:t>
      </w:r>
      <w:r>
        <w:rPr>
          <w:rFonts w:hint="eastAsia" w:ascii="仿宋_GB2312" w:hAnsi="Times New Roman" w:eastAsia="仿宋_GB2312"/>
          <w:b/>
          <w:sz w:val="32"/>
          <w:szCs w:val="32"/>
        </w:rPr>
        <w:fldChar w:fldCharType="end"/>
      </w:r>
    </w:p>
    <w:p>
      <w:pPr>
        <w:ind w:firstLine="480" w:firstLineChars="150"/>
        <w:rPr>
          <w:rFonts w:ascii="仿宋_GB2312" w:eastAsia="仿宋_GB2312"/>
          <w:sz w:val="32"/>
          <w:szCs w:val="32"/>
        </w:rPr>
      </w:pPr>
      <w:r>
        <w:rPr>
          <w:rFonts w:hint="eastAsia" w:ascii="仿宋_GB2312" w:eastAsia="仿宋_GB2312"/>
          <w:sz w:val="32"/>
          <w:szCs w:val="32"/>
        </w:rPr>
        <w:t>根据云南省花卉苗木迪庆试验站年度工作任务及[迪财农]41号文件的要求，迪庆州农科所进行了认真学习，进行了人员调整及充实，认真制定了《迪庆州农科所201</w:t>
      </w:r>
      <w:r>
        <w:rPr>
          <w:rFonts w:hint="eastAsia" w:ascii="仿宋_GB2312" w:eastAsia="仿宋_GB2312"/>
          <w:sz w:val="32"/>
          <w:szCs w:val="32"/>
          <w:lang w:val="en-US" w:eastAsia="zh-CN"/>
        </w:rPr>
        <w:t>6</w:t>
      </w:r>
      <w:r>
        <w:rPr>
          <w:rFonts w:hint="eastAsia" w:ascii="仿宋_GB2312" w:eastAsia="仿宋_GB2312"/>
          <w:sz w:val="32"/>
          <w:szCs w:val="32"/>
        </w:rPr>
        <w:t>年省花卉苗木产业技术体系建设实施方案》，按照实施方案认真组织实施。</w:t>
      </w:r>
    </w:p>
    <w:p>
      <w:pPr>
        <w:rPr>
          <w:rFonts w:ascii="仿宋_GB2312" w:eastAsia="仿宋_GB2312"/>
          <w:sz w:val="32"/>
          <w:szCs w:val="32"/>
        </w:rPr>
      </w:pPr>
      <w:r>
        <w:rPr>
          <w:rFonts w:hint="eastAsia" w:ascii="仿宋_GB2312" w:eastAsia="仿宋_GB2312"/>
          <w:sz w:val="32"/>
          <w:szCs w:val="32"/>
        </w:rPr>
        <w:t xml:space="preserve">    1、实施地点：香格里拉市、维西县、德钦县。</w:t>
      </w:r>
    </w:p>
    <w:p>
      <w:pPr>
        <w:ind w:firstLine="640" w:firstLineChars="200"/>
      </w:pPr>
      <w:r>
        <w:rPr>
          <w:rFonts w:hint="eastAsia" w:ascii="仿宋_GB2312" w:eastAsia="仿宋_GB2312"/>
          <w:sz w:val="32"/>
          <w:szCs w:val="32"/>
        </w:rPr>
        <w:t>2、建设规模：125亩油葵百亩核心示范区，新品种、新产品、新技术累计示范推广500亩。</w:t>
      </w:r>
    </w:p>
    <w:p>
      <w:pPr>
        <w:ind w:firstLine="643" w:firstLineChars="200"/>
        <w:rPr>
          <w:rFonts w:ascii="仿宋_GB2312" w:hAnsi="Times New Roman" w:eastAsia="仿宋_GB2312" w:cs="仿宋_GB2312"/>
          <w:b/>
          <w:sz w:val="32"/>
          <w:szCs w:val="32"/>
        </w:rPr>
      </w:pPr>
      <w:r>
        <w:rPr>
          <w:rFonts w:hint="eastAsia" w:ascii="仿宋_GB2312" w:eastAsia="仿宋_GB2312"/>
          <w:b/>
          <w:sz w:val="32"/>
          <w:szCs w:val="32"/>
        </w:rPr>
        <w:t>（二）</w:t>
      </w:r>
      <w:r>
        <w:fldChar w:fldCharType="begin"/>
      </w:r>
      <w:r>
        <w:instrText xml:space="preserve"> HYPERLINK \l "_Toc434746189" </w:instrText>
      </w:r>
      <w:r>
        <w:fldChar w:fldCharType="separate"/>
      </w:r>
      <w:r>
        <w:rPr>
          <w:rFonts w:hint="eastAsia" w:ascii="仿宋_GB2312" w:hAnsi="Times New Roman" w:eastAsia="仿宋_GB2312"/>
          <w:b/>
          <w:sz w:val="32"/>
          <w:szCs w:val="32"/>
        </w:rPr>
        <w:t>部门整体收支情况</w:t>
      </w:r>
      <w:r>
        <w:rPr>
          <w:rFonts w:hint="eastAsia" w:ascii="仿宋_GB2312" w:hAnsi="Times New Roman" w:eastAsia="仿宋_GB2312"/>
          <w:b/>
          <w:sz w:val="32"/>
          <w:szCs w:val="32"/>
        </w:rPr>
        <w:fldChar w:fldCharType="end"/>
      </w:r>
    </w:p>
    <w:p>
      <w:pPr>
        <w:rPr>
          <w:rFonts w:ascii="仿宋_GB2312" w:hAnsi="Times New Roman" w:eastAsia="仿宋_GB2312" w:cs="仿宋_GB2312"/>
          <w:sz w:val="32"/>
          <w:szCs w:val="32"/>
        </w:rPr>
      </w:pPr>
      <w:r>
        <w:rPr>
          <w:rFonts w:hint="eastAsia" w:ascii="仿宋_GB2312" w:hAnsi="Times New Roman" w:eastAsia="仿宋_GB2312" w:cs="仿宋_GB2312"/>
          <w:sz w:val="32"/>
          <w:szCs w:val="32"/>
        </w:rPr>
        <w:t xml:space="preserve"> 迪庆州农业科学研究所开展云南省花卉苗木产业技术体系建设迪庆试验站项目共计投入资金15万元，主要用于项目区的种子补助、肥料补助、农药补助、培训费、项目检查和项目验收等工作。物资发放情况如下：</w:t>
      </w:r>
    </w:p>
    <w:p>
      <w:pPr>
        <w:ind w:firstLine="640" w:firstLineChars="200"/>
        <w:rPr>
          <w:rFonts w:ascii="仿宋_GB2312" w:hAnsi="Times New Roman" w:eastAsia="仿宋_GB2312" w:cs="仿宋_GB2312"/>
          <w:sz w:val="32"/>
          <w:szCs w:val="32"/>
        </w:rPr>
      </w:pPr>
      <w:r>
        <w:rPr>
          <w:rFonts w:ascii="仿宋_GB2312" w:hAnsi="Times New Roman" w:eastAsia="仿宋_GB2312" w:cs="仿宋_GB2312"/>
          <w:sz w:val="32"/>
          <w:szCs w:val="32"/>
        </w:rPr>
        <w:t>1</w:t>
      </w:r>
      <w:r>
        <w:rPr>
          <w:rFonts w:hint="eastAsia" w:ascii="仿宋_GB2312" w:hAnsi="Times New Roman" w:eastAsia="仿宋_GB2312" w:cs="仿宋_GB2312"/>
          <w:sz w:val="32"/>
          <w:szCs w:val="32"/>
        </w:rPr>
        <w:t>、肥料4500kg。附发放花名册</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2、农药43kg。附发放花名册</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3、种子125kg。附发放花名册</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经费使用分类如下：</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1、材料和小型仪器设备购置费66000</w:t>
      </w:r>
      <w:r>
        <w:rPr>
          <w:rFonts w:ascii="仿宋_GB2312" w:hAnsi="Times New Roman" w:eastAsia="仿宋_GB2312" w:cs="仿宋_GB2312"/>
          <w:sz w:val="32"/>
          <w:szCs w:val="32"/>
        </w:rPr>
        <w:t>.00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2、租赁费1</w:t>
      </w:r>
      <w:r>
        <w:rPr>
          <w:rFonts w:ascii="仿宋_GB2312" w:hAnsi="Times New Roman" w:eastAsia="仿宋_GB2312" w:cs="仿宋_GB2312"/>
          <w:sz w:val="32"/>
          <w:szCs w:val="32"/>
        </w:rPr>
        <w:t>0000.00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3、培训费</w:t>
      </w:r>
      <w:r>
        <w:rPr>
          <w:rFonts w:ascii="仿宋_GB2312" w:hAnsi="Times New Roman" w:eastAsia="仿宋_GB2312" w:cs="仿宋_GB2312"/>
          <w:sz w:val="32"/>
          <w:szCs w:val="32"/>
        </w:rPr>
        <w:t>15000.00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4、差旅费1</w:t>
      </w:r>
      <w:r>
        <w:rPr>
          <w:rFonts w:ascii="仿宋_GB2312" w:hAnsi="Times New Roman" w:eastAsia="仿宋_GB2312" w:cs="仿宋_GB2312"/>
          <w:sz w:val="32"/>
          <w:szCs w:val="32"/>
        </w:rPr>
        <w:t>5000</w:t>
      </w:r>
      <w:r>
        <w:rPr>
          <w:rFonts w:hint="eastAsia" w:ascii="仿宋_GB2312" w:hAnsi="Times New Roman" w:eastAsia="仿宋_GB2312" w:cs="仿宋_GB2312"/>
          <w:sz w:val="32"/>
          <w:szCs w:val="32"/>
        </w:rPr>
        <w:t>.00元。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5、印刷费10000.00元。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6、劳务费25000.00元。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7、燃料动力费6000.00元。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8、其他费用3000.00元。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合计：15</w:t>
      </w:r>
      <w:r>
        <w:rPr>
          <w:rFonts w:ascii="仿宋_GB2312" w:hAnsi="Times New Roman" w:eastAsia="仿宋_GB2312" w:cs="仿宋_GB2312"/>
          <w:sz w:val="32"/>
          <w:szCs w:val="32"/>
        </w:rPr>
        <w:t>0000</w:t>
      </w:r>
      <w:r>
        <w:rPr>
          <w:rFonts w:hint="eastAsia" w:ascii="仿宋_GB2312" w:hAnsi="Times New Roman" w:eastAsia="仿宋_GB2312" w:cs="仿宋_GB2312"/>
          <w:sz w:val="32"/>
          <w:szCs w:val="32"/>
        </w:rPr>
        <w:t>元</w:t>
      </w:r>
    </w:p>
    <w:p>
      <w:pPr>
        <w:ind w:firstLine="480" w:firstLineChars="150"/>
        <w:rPr>
          <w:rFonts w:ascii="仿宋_GB2312" w:hAnsi="Times New Roman" w:eastAsia="仿宋_GB2312" w:cs="仿宋_GB2312"/>
          <w:sz w:val="32"/>
          <w:szCs w:val="32"/>
        </w:rPr>
      </w:pPr>
      <w:r>
        <w:rPr>
          <w:rFonts w:hint="eastAsia" w:ascii="仿宋_GB2312" w:hAnsi="Times New Roman" w:eastAsia="仿宋_GB2312" w:cs="仿宋_GB2312"/>
          <w:sz w:val="32"/>
          <w:szCs w:val="32"/>
        </w:rPr>
        <w:t>以上各项共安排经费15</w:t>
      </w:r>
      <w:r>
        <w:rPr>
          <w:rFonts w:ascii="仿宋_GB2312" w:hAnsi="Times New Roman" w:eastAsia="仿宋_GB2312" w:cs="仿宋_GB2312"/>
          <w:sz w:val="32"/>
          <w:szCs w:val="32"/>
        </w:rPr>
        <w:t>0000</w:t>
      </w:r>
      <w:r>
        <w:rPr>
          <w:rFonts w:hint="eastAsia" w:ascii="仿宋_GB2312" w:hAnsi="Times New Roman" w:eastAsia="仿宋_GB2312" w:cs="仿宋_GB2312"/>
          <w:sz w:val="32"/>
          <w:szCs w:val="32"/>
        </w:rPr>
        <w:t>元。</w:t>
      </w:r>
    </w:p>
    <w:p>
      <w:pPr>
        <w:ind w:left="643"/>
        <w:rPr>
          <w:rFonts w:ascii="仿宋_GB2312" w:hAnsi="Times New Roman" w:eastAsia="仿宋_GB2312" w:cs="仿宋_GB2312"/>
          <w:b/>
          <w:sz w:val="32"/>
          <w:szCs w:val="32"/>
        </w:rPr>
      </w:pPr>
      <w:r>
        <w:rPr>
          <w:rFonts w:hint="eastAsia" w:ascii="仿宋_GB2312" w:eastAsia="仿宋_GB2312"/>
          <w:b/>
          <w:sz w:val="32"/>
          <w:szCs w:val="32"/>
        </w:rPr>
        <w:t>（三）</w:t>
      </w:r>
      <w:r>
        <w:fldChar w:fldCharType="begin"/>
      </w:r>
      <w:r>
        <w:instrText xml:space="preserve"> HYPERLINK \l "_Toc434746190" </w:instrText>
      </w:r>
      <w:r>
        <w:fldChar w:fldCharType="separate"/>
      </w:r>
      <w:r>
        <w:rPr>
          <w:rFonts w:hint="eastAsia" w:ascii="仿宋_GB2312" w:hAnsi="Times New Roman" w:eastAsia="仿宋_GB2312"/>
          <w:b/>
          <w:sz w:val="32"/>
          <w:szCs w:val="32"/>
        </w:rPr>
        <w:t>部门预算管理制度建设情况</w:t>
      </w:r>
      <w:r>
        <w:rPr>
          <w:rFonts w:hint="eastAsia" w:ascii="仿宋_GB2312" w:hAnsi="Times New Roman" w:eastAsia="仿宋_GB2312"/>
          <w:b/>
          <w:sz w:val="32"/>
          <w:szCs w:val="32"/>
        </w:rPr>
        <w:fldChar w:fldCharType="end"/>
      </w:r>
    </w:p>
    <w:p>
      <w:pPr>
        <w:rPr>
          <w:rFonts w:ascii="仿宋_GB2312" w:hAnsi="Times New Roman" w:eastAsia="仿宋_GB2312" w:cs="仿宋_GB2312"/>
          <w:sz w:val="32"/>
          <w:szCs w:val="32"/>
        </w:rPr>
      </w:pPr>
      <w:r>
        <w:rPr>
          <w:rFonts w:hint="eastAsia" w:ascii="仿宋_GB2312" w:hAnsi="Times New Roman" w:eastAsia="仿宋_GB2312" w:cs="仿宋_GB2312"/>
          <w:sz w:val="32"/>
          <w:szCs w:val="32"/>
        </w:rPr>
        <w:t>规范资金使用与管理。在资金使用与管理上，严格按照农业部和省财政有关项目专项资金管理办法的要求，加强资金管理，按照项目预算使用资金，实行专账支付，把有限的资金用在项目建设上。</w:t>
      </w:r>
    </w:p>
    <w:p>
      <w:pPr>
        <w:pStyle w:val="7"/>
        <w:ind w:firstLine="643"/>
        <w:rPr>
          <w:rFonts w:ascii="仿宋_GB2312" w:hAnsi="Times New Roman" w:eastAsia="仿宋_GB2312" w:cs="Times New Roman"/>
          <w:b/>
          <w:sz w:val="32"/>
          <w:szCs w:val="32"/>
        </w:rPr>
      </w:pPr>
      <w:r>
        <w:rPr>
          <w:rFonts w:hint="eastAsia" w:ascii="仿宋_GB2312" w:hAnsi="黑体" w:eastAsia="仿宋_GB2312" w:cs="黑体"/>
          <w:b/>
          <w:sz w:val="32"/>
          <w:szCs w:val="32"/>
        </w:rPr>
        <w:t>二、绩效自评工作情况</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仿宋_GB2312"/>
          <w:b/>
          <w:sz w:val="32"/>
          <w:szCs w:val="32"/>
        </w:rPr>
        <w:t>（一）绩效自评目的</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绩效自评是在一定期间内科学、动态地衡量项目工作进度和效果的考核方式，通过制定有效、客观的考核标准，对项目进行评定，以进一步规范项目管理，项目效率；绩效自评使各级管理者明确了解项目实施进度，通过对项目实施过程中考核期内的业绩等的评估，充分了解项目实施情况。</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仿宋_GB2312"/>
          <w:b/>
          <w:sz w:val="32"/>
          <w:szCs w:val="32"/>
        </w:rPr>
        <w:t>（二）自评指标体系</w:t>
      </w:r>
    </w:p>
    <w:p>
      <w:pPr>
        <w:ind w:firstLine="640" w:firstLineChars="200"/>
        <w:jc w:val="center"/>
        <w:rPr>
          <w:rFonts w:ascii="仿宋_GB2312" w:eastAsia="仿宋_GB2312" w:cs="Times New Roman"/>
          <w:sz w:val="32"/>
          <w:szCs w:val="32"/>
        </w:rPr>
      </w:pPr>
      <w:r>
        <w:rPr>
          <w:rFonts w:hint="eastAsia" w:ascii="仿宋_GB2312" w:eastAsia="仿宋_GB2312" w:cs="Times New Roman"/>
          <w:sz w:val="32"/>
          <w:szCs w:val="32"/>
        </w:rPr>
        <w:t>项目绩效目标表</w:t>
      </w:r>
    </w:p>
    <w:tbl>
      <w:tblPr>
        <w:tblStyle w:val="6"/>
        <w:tblW w:w="10632"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276"/>
        <w:gridCol w:w="1069"/>
        <w:gridCol w:w="1199"/>
        <w:gridCol w:w="1134"/>
        <w:gridCol w:w="1134"/>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项目绩效指标</w:t>
            </w:r>
          </w:p>
        </w:tc>
        <w:tc>
          <w:tcPr>
            <w:tcW w:w="1276"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绩效类型</w:t>
            </w:r>
          </w:p>
        </w:tc>
        <w:tc>
          <w:tcPr>
            <w:tcW w:w="4536" w:type="dxa"/>
            <w:gridSpan w:val="4"/>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绩效标准</w:t>
            </w:r>
          </w:p>
        </w:tc>
        <w:tc>
          <w:tcPr>
            <w:tcW w:w="851"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项目绩效目标预计完成情况</w:t>
            </w:r>
          </w:p>
        </w:tc>
        <w:tc>
          <w:tcPr>
            <w:tcW w:w="1134"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c>
          <w:tcPr>
            <w:tcW w:w="106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优</w:t>
            </w:r>
          </w:p>
        </w:tc>
        <w:tc>
          <w:tcPr>
            <w:tcW w:w="119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良</w:t>
            </w:r>
          </w:p>
        </w:tc>
        <w:tc>
          <w:tcPr>
            <w:tcW w:w="1134"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中</w:t>
            </w:r>
          </w:p>
        </w:tc>
        <w:tc>
          <w:tcPr>
            <w:tcW w:w="1134"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差</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r>
              <w:rPr>
                <w:rFonts w:hint="eastAsia" w:ascii="仿宋" w:hAnsi="仿宋" w:eastAsia="仿宋" w:cs="Times New Roman"/>
                <w:color w:val="000000"/>
                <w:sz w:val="20"/>
                <w:szCs w:val="20"/>
              </w:rPr>
              <w:t>花卉苗木核心区完成面积(亩)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150以上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120-150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100-120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color w:val="000000"/>
                <w:sz w:val="20"/>
                <w:szCs w:val="20"/>
              </w:rPr>
            </w:pPr>
            <w:r>
              <w:rPr>
                <w:rFonts w:hint="eastAsia" w:ascii="仿宋" w:hAnsi="仿宋" w:eastAsia="仿宋" w:cs="Times New Roman"/>
                <w:color w:val="000000"/>
                <w:sz w:val="20"/>
                <w:szCs w:val="20"/>
              </w:rPr>
              <w:t>花卉苗木展示区完成面积(亩)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500以上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480-500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460-480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450以下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color w:val="000000"/>
                <w:sz w:val="20"/>
                <w:szCs w:val="20"/>
              </w:rPr>
            </w:pPr>
            <w:r>
              <w:rPr>
                <w:rFonts w:hint="eastAsia" w:ascii="仿宋" w:hAnsi="仿宋" w:eastAsia="仿宋" w:cs="Times New Roman"/>
                <w:color w:val="000000"/>
                <w:sz w:val="20"/>
                <w:szCs w:val="20"/>
              </w:rPr>
              <w:t>花卉苗木辐射区完成面积(亩)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500以上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480-500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460-480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450以下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技术培训覆盖率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85-90%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85%以下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项目完成及时率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农作物病虫草鼠害防治面积(亩次)</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500以上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480-500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460-480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450以下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统防统治完成面积(亩)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500以上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480-500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460-480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450以下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稳定粮食总产产值平衡</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项目区农民增收比率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专家测产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项目区农民满意度</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专家测产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种植新品种亩增产率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≥5%</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≥2%</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总减不合理施肥量(吨)</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8</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11</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采购依据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化学农药使用量增长率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效益指标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≤2.0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≤2.5%</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采购依据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农药利用率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效益指标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≥36%</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≥34%</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≥32</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≥30</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调查数据</w:t>
            </w:r>
          </w:p>
        </w:tc>
      </w:tr>
    </w:tbl>
    <w:p>
      <w:pPr>
        <w:rPr>
          <w:rFonts w:ascii="仿宋_GB2312" w:hAnsi="Times New Roman" w:eastAsia="仿宋_GB2312" w:cs="仿宋_GB2312"/>
          <w:b/>
          <w:sz w:val="32"/>
          <w:szCs w:val="32"/>
        </w:rPr>
      </w:pPr>
    </w:p>
    <w:p>
      <w:pPr>
        <w:ind w:firstLine="643" w:firstLineChars="200"/>
        <w:rPr>
          <w:rFonts w:ascii="仿宋_GB2312" w:hAnsi="Times New Roman" w:eastAsia="仿宋_GB2312" w:cs="Times New Roman"/>
          <w:b/>
          <w:sz w:val="32"/>
          <w:szCs w:val="32"/>
        </w:rPr>
      </w:pPr>
      <w:r>
        <w:rPr>
          <w:rFonts w:hint="eastAsia" w:ascii="仿宋_GB2312" w:hAnsi="Times New Roman" w:eastAsia="仿宋_GB2312" w:cs="仿宋_GB2312"/>
          <w:b/>
          <w:sz w:val="32"/>
          <w:szCs w:val="32"/>
        </w:rPr>
        <w:t>（三）自评组织过程</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Times New Roman"/>
          <w:b/>
          <w:sz w:val="32"/>
          <w:szCs w:val="32"/>
        </w:rPr>
        <w:t>1.</w:t>
      </w:r>
      <w:r>
        <w:rPr>
          <w:rFonts w:hint="eastAsia" w:ascii="仿宋_GB2312" w:hAnsi="Times New Roman" w:eastAsia="仿宋_GB2312" w:cs="仿宋_GB2312"/>
          <w:b/>
          <w:sz w:val="32"/>
          <w:szCs w:val="32"/>
        </w:rPr>
        <w:t>前期准备</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仿宋_GB2312"/>
          <w:sz w:val="32"/>
          <w:szCs w:val="32"/>
        </w:rPr>
        <w:t>201</w:t>
      </w:r>
      <w:r>
        <w:rPr>
          <w:rFonts w:hint="eastAsia" w:ascii="仿宋_GB2312" w:hAnsi="Times New Roman" w:eastAsia="仿宋_GB2312" w:cs="仿宋_GB2312"/>
          <w:sz w:val="32"/>
          <w:szCs w:val="32"/>
          <w:lang w:val="en-US" w:eastAsia="zh-CN"/>
        </w:rPr>
        <w:t>6</w:t>
      </w:r>
      <w:bookmarkStart w:id="0" w:name="_GoBack"/>
      <w:bookmarkEnd w:id="0"/>
      <w:r>
        <w:rPr>
          <w:rFonts w:hint="eastAsia" w:ascii="仿宋_GB2312" w:hAnsi="Times New Roman" w:eastAsia="仿宋_GB2312" w:cs="仿宋_GB2312"/>
          <w:sz w:val="32"/>
          <w:szCs w:val="32"/>
        </w:rPr>
        <w:t>年3月项目立项后，进行项目自评工作前期准备工作，收集项目资料等工作。</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Times New Roman"/>
          <w:b/>
          <w:sz w:val="32"/>
          <w:szCs w:val="32"/>
        </w:rPr>
        <w:t>2.</w:t>
      </w:r>
      <w:r>
        <w:rPr>
          <w:rFonts w:hint="eastAsia" w:ascii="仿宋_GB2312" w:hAnsi="Times New Roman" w:eastAsia="仿宋_GB2312" w:cs="仿宋_GB2312"/>
          <w:b/>
          <w:sz w:val="32"/>
          <w:szCs w:val="32"/>
        </w:rPr>
        <w:t>组织实施</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2017年9月组织实施项目自评等工作。</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评价情况分析及综合评价结论</w:t>
      </w:r>
    </w:p>
    <w:p>
      <w:pPr>
        <w:ind w:firstLine="640" w:firstLineChars="200"/>
        <w:rPr>
          <w:rFonts w:ascii="仿宋_GB2312" w:eastAsia="仿宋_GB2312"/>
          <w:sz w:val="32"/>
          <w:szCs w:val="32"/>
        </w:rPr>
      </w:pPr>
      <w:r>
        <w:rPr>
          <w:rFonts w:hint="eastAsia" w:ascii="仿宋_GB2312" w:eastAsia="仿宋_GB2312"/>
          <w:sz w:val="32"/>
          <w:szCs w:val="32"/>
        </w:rPr>
        <w:t>项目实施完成花卉苗木核心师范区125亩；项目培训农民90人、项目区技术培训覆盖率为100%；项目完成及时率100%；农作物病虫草鼠害防治面积500亩；稳定粮食总产产值平衡100%；项目区农民增收比率达到10%；项目区农民满意度100%；种植新品种亩增产率10%；总减不合理施肥量控制在8；化学农药使用量增长率控制在1%以下；农药利用率大于36%；项目综合评价分为优秀（S≥95）。</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存在的问题和整改情况</w:t>
      </w:r>
    </w:p>
    <w:p>
      <w:pPr>
        <w:pStyle w:val="7"/>
        <w:ind w:firstLine="0" w:firstLineChars="0"/>
        <w:rPr>
          <w:rFonts w:ascii="仿宋_GB2312" w:hAnsi="Times New Roman" w:eastAsia="仿宋_GB2312" w:cs="Times New Roman"/>
          <w:sz w:val="32"/>
          <w:szCs w:val="32"/>
        </w:rPr>
      </w:pPr>
      <w:r>
        <w:rPr>
          <w:rFonts w:hint="eastAsia" w:ascii="仿宋_GB2312" w:hAnsi="Times New Roman" w:eastAsia="仿宋_GB2312" w:cs="Times New Roman"/>
          <w:sz w:val="32"/>
          <w:szCs w:val="32"/>
        </w:rPr>
        <w:t>认真总结工作中的经验教训，创新工作方式方法。按照上级的新要求、新标准，继续落实实施好今后的花卉苗木产业技术体系建设迪庆试验站项目。</w:t>
      </w:r>
    </w:p>
    <w:p>
      <w:pPr>
        <w:pStyle w:val="7"/>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我所在今年的省花卉苗木产业技术体系建设迪庆试验站项目中虽然高度重视，全力以赴，但在组织能力、管理能力、项目实施水平等方面与项目的新要求、新标准还有一定的差距，在今后的工作中，还需进一步深入学习，强化培训，使各方面工作都上一个新的台阶。</w:t>
      </w:r>
    </w:p>
    <w:p>
      <w:pPr>
        <w:pStyle w:val="7"/>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由于项目下达晚，资金到位较慢，严重影响了该项目的实施。同时建议上级部门对花卉苗木产业项目予以重视，增加资金投入，我们将按照上级部门的相关要求，切实做好各项工作，圆满完成下年度花卉苗木产业项目任务指标。</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绩效自评结果应用</w:t>
      </w:r>
    </w:p>
    <w:p>
      <w:pPr>
        <w:pStyle w:val="7"/>
        <w:ind w:firstLine="0" w:firstLineChars="0"/>
        <w:rPr>
          <w:rFonts w:ascii="仿宋_GB2312" w:hAnsi="黑体" w:eastAsia="仿宋_GB2312" w:cs="黑体"/>
          <w:sz w:val="32"/>
          <w:szCs w:val="32"/>
        </w:rPr>
      </w:pPr>
      <w:r>
        <w:rPr>
          <w:rFonts w:hint="eastAsia" w:ascii="仿宋_GB2312" w:hAnsi="黑体" w:eastAsia="仿宋_GB2312" w:cs="黑体"/>
          <w:sz w:val="32"/>
          <w:szCs w:val="32"/>
        </w:rPr>
        <w:t xml:space="preserve"> 绩效评价结果应用，既是开展绩效评价工作的基本前提，又是加强财政支出管理、增强资金绩效理念、合理配置公共资源、优化财政支出结构、强化资金管理水平、提高资金使用效益的重要手段。为使绩效评价结果得到合理应用，应将此次绩效评价结果作为以后年度建设资金分配的重要依据。</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绩效评价是对效果的评价，评价结果直接反应项目实施的效益。</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主要经验及做法</w:t>
      </w:r>
    </w:p>
    <w:p>
      <w:pPr>
        <w:pStyle w:val="7"/>
        <w:ind w:firstLine="0" w:firstLineChars="0"/>
        <w:rPr>
          <w:rFonts w:ascii="仿宋_GB2312" w:hAnsi="黑体" w:eastAsia="仿宋_GB2312" w:cs="黑体"/>
          <w:sz w:val="32"/>
          <w:szCs w:val="32"/>
        </w:rPr>
      </w:pPr>
      <w:r>
        <w:rPr>
          <w:rFonts w:hint="eastAsia" w:ascii="仿宋_GB2312" w:hAnsi="黑体" w:eastAsia="仿宋_GB2312" w:cs="黑体"/>
          <w:sz w:val="32"/>
          <w:szCs w:val="32"/>
        </w:rPr>
        <w:t xml:space="preserve"> 组织保障是关键。云南省花卉苗木产业技术体系建设迪庆试验站项目得到了州农牧局领导的高度重视，切实加强了组织领导，成立了领导小组，落实责任，强化考核，保障了云南省花卉苗木产业技术体系建设迪庆试验站项目落实到位。</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政策扶持是动力。实施</w:t>
      </w:r>
      <w:r>
        <w:rPr>
          <w:rFonts w:hint="eastAsia" w:eastAsia="仿宋_GB2312" w:cs="黑体" w:asciiTheme="minorHAnsi" w:hAnsiTheme="minorHAnsi"/>
          <w:sz w:val="32"/>
          <w:szCs w:val="32"/>
        </w:rPr>
        <w:t>云南</w:t>
      </w:r>
      <w:r>
        <w:rPr>
          <w:rFonts w:hint="eastAsia" w:ascii="仿宋_GB2312" w:hAnsi="黑体" w:eastAsia="仿宋_GB2312" w:cs="黑体"/>
          <w:sz w:val="32"/>
          <w:szCs w:val="32"/>
        </w:rPr>
        <w:t>省花卉苗木产业技术体系建设迪庆试验站项目,需要筹集大量的财力和人力,通过政策扶持，在配方施肥、科技培训误工费等方面加以补助，为项目的顺利实施提供动力。</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优良品种是基础。项目区选择适应性好、抗病性强、丰产性好、优良的品种，为云南省花卉苗木产业技术体系建设迪庆试验站项目奠定了基础。</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其他需说明的情况</w:t>
      </w:r>
    </w:p>
    <w:p>
      <w:pPr>
        <w:pStyle w:val="7"/>
        <w:ind w:firstLine="660" w:firstLineChars="0"/>
        <w:rPr>
          <w:rFonts w:ascii="仿宋_GB2312" w:hAnsi="Times New Roman" w:eastAsia="仿宋_GB2312" w:cs="Times New Roman"/>
          <w:sz w:val="32"/>
          <w:szCs w:val="32"/>
        </w:rPr>
      </w:pPr>
      <w:r>
        <w:rPr>
          <w:rFonts w:hint="eastAsia" w:ascii="仿宋_GB2312" w:hAnsi="Times New Roman" w:eastAsia="仿宋_GB2312" w:cs="Times New Roman"/>
          <w:sz w:val="32"/>
          <w:szCs w:val="32"/>
        </w:rPr>
        <w:t>无</w:t>
      </w:r>
    </w:p>
    <w:p>
      <w:pPr>
        <w:pStyle w:val="7"/>
        <w:ind w:firstLine="660" w:firstLineChars="0"/>
        <w:rPr>
          <w:rFonts w:ascii="仿宋_GB2312" w:hAnsi="Times New Roman" w:eastAsia="仿宋_GB2312" w:cs="Times New Roman"/>
          <w:sz w:val="32"/>
          <w:szCs w:val="32"/>
        </w:rPr>
      </w:pPr>
    </w:p>
    <w:p>
      <w:pPr>
        <w:pStyle w:val="7"/>
        <w:ind w:firstLine="660" w:firstLineChars="0"/>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迪庆州农业科学研究所</w:t>
      </w:r>
    </w:p>
    <w:p>
      <w:pPr>
        <w:pStyle w:val="7"/>
        <w:ind w:firstLine="5120" w:firstLineChars="1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2017年9月15日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67959"/>
    <w:multiLevelType w:val="multilevel"/>
    <w:tmpl w:val="2BD67959"/>
    <w:lvl w:ilvl="0" w:tentative="0">
      <w:start w:val="1"/>
      <w:numFmt w:val="japaneseCounting"/>
      <w:lvlText w:val="%1、"/>
      <w:lvlJc w:val="left"/>
      <w:pPr>
        <w:ind w:left="1363" w:hanging="720"/>
      </w:pPr>
      <w:rPr>
        <w:rFonts w:hint="default" w:hAnsi="黑体" w:cs="黑体"/>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5A7622E3"/>
    <w:multiLevelType w:val="multilevel"/>
    <w:tmpl w:val="5A7622E3"/>
    <w:lvl w:ilvl="0" w:tentative="0">
      <w:start w:val="1"/>
      <w:numFmt w:val="japaneseCounting"/>
      <w:lvlText w:val="（%1）"/>
      <w:lvlJc w:val="left"/>
      <w:pPr>
        <w:ind w:left="1723" w:hanging="1080"/>
      </w:pPr>
      <w:rPr>
        <w:rFonts w:hint="default" w:cs="Calibri"/>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A7687"/>
    <w:rsid w:val="000016A4"/>
    <w:rsid w:val="000051D9"/>
    <w:rsid w:val="00012667"/>
    <w:rsid w:val="000129EE"/>
    <w:rsid w:val="00012AE1"/>
    <w:rsid w:val="00013341"/>
    <w:rsid w:val="00015C16"/>
    <w:rsid w:val="00026340"/>
    <w:rsid w:val="00035D95"/>
    <w:rsid w:val="00036697"/>
    <w:rsid w:val="00036FEA"/>
    <w:rsid w:val="00041070"/>
    <w:rsid w:val="00042344"/>
    <w:rsid w:val="000430E9"/>
    <w:rsid w:val="00043BF6"/>
    <w:rsid w:val="000463C0"/>
    <w:rsid w:val="000473D0"/>
    <w:rsid w:val="00051D96"/>
    <w:rsid w:val="00055423"/>
    <w:rsid w:val="00057058"/>
    <w:rsid w:val="00057947"/>
    <w:rsid w:val="00057DE5"/>
    <w:rsid w:val="00061779"/>
    <w:rsid w:val="00063EB1"/>
    <w:rsid w:val="000661BB"/>
    <w:rsid w:val="00066BA4"/>
    <w:rsid w:val="00066E06"/>
    <w:rsid w:val="000677FD"/>
    <w:rsid w:val="00067E32"/>
    <w:rsid w:val="000748A7"/>
    <w:rsid w:val="00074ED6"/>
    <w:rsid w:val="00076B6E"/>
    <w:rsid w:val="00080654"/>
    <w:rsid w:val="00080751"/>
    <w:rsid w:val="0008147D"/>
    <w:rsid w:val="00090CBA"/>
    <w:rsid w:val="00094A1E"/>
    <w:rsid w:val="00097489"/>
    <w:rsid w:val="000A1712"/>
    <w:rsid w:val="000A1D67"/>
    <w:rsid w:val="000A66A0"/>
    <w:rsid w:val="000A6F34"/>
    <w:rsid w:val="000B0189"/>
    <w:rsid w:val="000B27ED"/>
    <w:rsid w:val="000B309A"/>
    <w:rsid w:val="000B34AE"/>
    <w:rsid w:val="000B46A1"/>
    <w:rsid w:val="000C172A"/>
    <w:rsid w:val="000C3BA2"/>
    <w:rsid w:val="000C592B"/>
    <w:rsid w:val="000D097E"/>
    <w:rsid w:val="000D189A"/>
    <w:rsid w:val="000D3E82"/>
    <w:rsid w:val="000D4C6E"/>
    <w:rsid w:val="000D588C"/>
    <w:rsid w:val="000D5AA5"/>
    <w:rsid w:val="000D7067"/>
    <w:rsid w:val="000E118F"/>
    <w:rsid w:val="000E18C5"/>
    <w:rsid w:val="000E2E68"/>
    <w:rsid w:val="000E361F"/>
    <w:rsid w:val="000E6327"/>
    <w:rsid w:val="000F02E8"/>
    <w:rsid w:val="000F3D74"/>
    <w:rsid w:val="000F46A8"/>
    <w:rsid w:val="000F73D8"/>
    <w:rsid w:val="000F7918"/>
    <w:rsid w:val="00101CE0"/>
    <w:rsid w:val="0010603B"/>
    <w:rsid w:val="001063FE"/>
    <w:rsid w:val="0010794B"/>
    <w:rsid w:val="00122580"/>
    <w:rsid w:val="00125785"/>
    <w:rsid w:val="00125DDD"/>
    <w:rsid w:val="00126162"/>
    <w:rsid w:val="001272A2"/>
    <w:rsid w:val="001278A5"/>
    <w:rsid w:val="00137825"/>
    <w:rsid w:val="00140FD9"/>
    <w:rsid w:val="001422FE"/>
    <w:rsid w:val="001435F4"/>
    <w:rsid w:val="00143767"/>
    <w:rsid w:val="00144DDE"/>
    <w:rsid w:val="001460A2"/>
    <w:rsid w:val="00146AC0"/>
    <w:rsid w:val="00150940"/>
    <w:rsid w:val="00151203"/>
    <w:rsid w:val="00151A59"/>
    <w:rsid w:val="00156E80"/>
    <w:rsid w:val="00157D72"/>
    <w:rsid w:val="00170038"/>
    <w:rsid w:val="0017568D"/>
    <w:rsid w:val="00177260"/>
    <w:rsid w:val="00183C5A"/>
    <w:rsid w:val="00184D02"/>
    <w:rsid w:val="00186283"/>
    <w:rsid w:val="001901B5"/>
    <w:rsid w:val="00193DF0"/>
    <w:rsid w:val="00194ED0"/>
    <w:rsid w:val="00195A74"/>
    <w:rsid w:val="00196E02"/>
    <w:rsid w:val="001A09A1"/>
    <w:rsid w:val="001A13F7"/>
    <w:rsid w:val="001A42A9"/>
    <w:rsid w:val="001A4D42"/>
    <w:rsid w:val="001A5282"/>
    <w:rsid w:val="001A5C3E"/>
    <w:rsid w:val="001B05AF"/>
    <w:rsid w:val="001B0DAF"/>
    <w:rsid w:val="001B470D"/>
    <w:rsid w:val="001B62D1"/>
    <w:rsid w:val="001C0B96"/>
    <w:rsid w:val="001C123A"/>
    <w:rsid w:val="001C24B3"/>
    <w:rsid w:val="001C3690"/>
    <w:rsid w:val="001C43BB"/>
    <w:rsid w:val="001C5689"/>
    <w:rsid w:val="001C56F9"/>
    <w:rsid w:val="001C5FFC"/>
    <w:rsid w:val="001D5959"/>
    <w:rsid w:val="001D694F"/>
    <w:rsid w:val="001D6A67"/>
    <w:rsid w:val="001D6E16"/>
    <w:rsid w:val="001D79C1"/>
    <w:rsid w:val="001E062A"/>
    <w:rsid w:val="001E0F99"/>
    <w:rsid w:val="001E11AC"/>
    <w:rsid w:val="001E11D1"/>
    <w:rsid w:val="001F085E"/>
    <w:rsid w:val="001F2421"/>
    <w:rsid w:val="001F3C20"/>
    <w:rsid w:val="001F562F"/>
    <w:rsid w:val="001F566E"/>
    <w:rsid w:val="00205D6D"/>
    <w:rsid w:val="002114C9"/>
    <w:rsid w:val="00213CD0"/>
    <w:rsid w:val="00220D03"/>
    <w:rsid w:val="002268E7"/>
    <w:rsid w:val="00230F12"/>
    <w:rsid w:val="00231C20"/>
    <w:rsid w:val="00236AAE"/>
    <w:rsid w:val="00236BE0"/>
    <w:rsid w:val="00240A99"/>
    <w:rsid w:val="00242297"/>
    <w:rsid w:val="00245589"/>
    <w:rsid w:val="002476AA"/>
    <w:rsid w:val="00247DA3"/>
    <w:rsid w:val="00253773"/>
    <w:rsid w:val="00254089"/>
    <w:rsid w:val="002549D7"/>
    <w:rsid w:val="0025507D"/>
    <w:rsid w:val="00262CD6"/>
    <w:rsid w:val="00264DC6"/>
    <w:rsid w:val="0027077F"/>
    <w:rsid w:val="00270F59"/>
    <w:rsid w:val="002727E8"/>
    <w:rsid w:val="00272C3E"/>
    <w:rsid w:val="002752B0"/>
    <w:rsid w:val="00280AD7"/>
    <w:rsid w:val="00282DE8"/>
    <w:rsid w:val="0028498F"/>
    <w:rsid w:val="002849AD"/>
    <w:rsid w:val="0028770E"/>
    <w:rsid w:val="00291977"/>
    <w:rsid w:val="00291C76"/>
    <w:rsid w:val="002921A2"/>
    <w:rsid w:val="00292D02"/>
    <w:rsid w:val="00294E89"/>
    <w:rsid w:val="002962A9"/>
    <w:rsid w:val="00296674"/>
    <w:rsid w:val="002974F0"/>
    <w:rsid w:val="00297D5A"/>
    <w:rsid w:val="002A231A"/>
    <w:rsid w:val="002A2929"/>
    <w:rsid w:val="002A7687"/>
    <w:rsid w:val="002B13F6"/>
    <w:rsid w:val="002B54D6"/>
    <w:rsid w:val="002C62C3"/>
    <w:rsid w:val="002C6D3A"/>
    <w:rsid w:val="002D159E"/>
    <w:rsid w:val="002D1751"/>
    <w:rsid w:val="002D1800"/>
    <w:rsid w:val="002D4870"/>
    <w:rsid w:val="002D5CA2"/>
    <w:rsid w:val="002D6C98"/>
    <w:rsid w:val="002E2653"/>
    <w:rsid w:val="002E69B9"/>
    <w:rsid w:val="002E7294"/>
    <w:rsid w:val="002F3197"/>
    <w:rsid w:val="002F3B49"/>
    <w:rsid w:val="002F5285"/>
    <w:rsid w:val="00300EC8"/>
    <w:rsid w:val="00302D31"/>
    <w:rsid w:val="00305387"/>
    <w:rsid w:val="00306EEF"/>
    <w:rsid w:val="0031020E"/>
    <w:rsid w:val="0031237A"/>
    <w:rsid w:val="003126ED"/>
    <w:rsid w:val="00320544"/>
    <w:rsid w:val="0032075C"/>
    <w:rsid w:val="00321228"/>
    <w:rsid w:val="00321EB0"/>
    <w:rsid w:val="00327F4E"/>
    <w:rsid w:val="00333024"/>
    <w:rsid w:val="0033390F"/>
    <w:rsid w:val="00340594"/>
    <w:rsid w:val="00340EA3"/>
    <w:rsid w:val="0034193B"/>
    <w:rsid w:val="003439DB"/>
    <w:rsid w:val="00352ECF"/>
    <w:rsid w:val="00354220"/>
    <w:rsid w:val="003572B3"/>
    <w:rsid w:val="00357CE4"/>
    <w:rsid w:val="00357FE6"/>
    <w:rsid w:val="00361EBE"/>
    <w:rsid w:val="0036527A"/>
    <w:rsid w:val="00370916"/>
    <w:rsid w:val="00371F9B"/>
    <w:rsid w:val="00372BFB"/>
    <w:rsid w:val="00374079"/>
    <w:rsid w:val="00381FB8"/>
    <w:rsid w:val="00383013"/>
    <w:rsid w:val="00385C7B"/>
    <w:rsid w:val="00391C00"/>
    <w:rsid w:val="003954DD"/>
    <w:rsid w:val="003A1A0A"/>
    <w:rsid w:val="003A25EB"/>
    <w:rsid w:val="003A4B4A"/>
    <w:rsid w:val="003A7E8F"/>
    <w:rsid w:val="003C2DD5"/>
    <w:rsid w:val="003C2F17"/>
    <w:rsid w:val="003C3832"/>
    <w:rsid w:val="003C465B"/>
    <w:rsid w:val="003C69E4"/>
    <w:rsid w:val="003D0AB6"/>
    <w:rsid w:val="003D1EFE"/>
    <w:rsid w:val="003D3657"/>
    <w:rsid w:val="003D51A5"/>
    <w:rsid w:val="003D751F"/>
    <w:rsid w:val="003E2816"/>
    <w:rsid w:val="003E67A1"/>
    <w:rsid w:val="003F0CE1"/>
    <w:rsid w:val="003F1733"/>
    <w:rsid w:val="003F233E"/>
    <w:rsid w:val="003F33A5"/>
    <w:rsid w:val="003F45CA"/>
    <w:rsid w:val="003F6CC0"/>
    <w:rsid w:val="003F7CD8"/>
    <w:rsid w:val="00402427"/>
    <w:rsid w:val="0040420A"/>
    <w:rsid w:val="004045DF"/>
    <w:rsid w:val="00407042"/>
    <w:rsid w:val="00410E0B"/>
    <w:rsid w:val="004118F8"/>
    <w:rsid w:val="004145E4"/>
    <w:rsid w:val="00416893"/>
    <w:rsid w:val="00417F43"/>
    <w:rsid w:val="004218E6"/>
    <w:rsid w:val="004240E7"/>
    <w:rsid w:val="00424A60"/>
    <w:rsid w:val="004276E4"/>
    <w:rsid w:val="004300BC"/>
    <w:rsid w:val="00431AA7"/>
    <w:rsid w:val="0043470D"/>
    <w:rsid w:val="004357C6"/>
    <w:rsid w:val="004373C9"/>
    <w:rsid w:val="00437D55"/>
    <w:rsid w:val="004415AB"/>
    <w:rsid w:val="00443FEE"/>
    <w:rsid w:val="00445E4C"/>
    <w:rsid w:val="00447040"/>
    <w:rsid w:val="004534AF"/>
    <w:rsid w:val="00453DE9"/>
    <w:rsid w:val="0045429F"/>
    <w:rsid w:val="00455389"/>
    <w:rsid w:val="004559C0"/>
    <w:rsid w:val="004578FB"/>
    <w:rsid w:val="004637D2"/>
    <w:rsid w:val="0046445A"/>
    <w:rsid w:val="00465FD1"/>
    <w:rsid w:val="004664AC"/>
    <w:rsid w:val="00467B01"/>
    <w:rsid w:val="004721C2"/>
    <w:rsid w:val="00474B20"/>
    <w:rsid w:val="00475878"/>
    <w:rsid w:val="0047654E"/>
    <w:rsid w:val="00477CB7"/>
    <w:rsid w:val="0048008E"/>
    <w:rsid w:val="00480BCF"/>
    <w:rsid w:val="0048265E"/>
    <w:rsid w:val="00483A76"/>
    <w:rsid w:val="004850AE"/>
    <w:rsid w:val="004869DA"/>
    <w:rsid w:val="00487662"/>
    <w:rsid w:val="004878C6"/>
    <w:rsid w:val="00490385"/>
    <w:rsid w:val="00490855"/>
    <w:rsid w:val="00494D6D"/>
    <w:rsid w:val="0049618F"/>
    <w:rsid w:val="004A1466"/>
    <w:rsid w:val="004A38FF"/>
    <w:rsid w:val="004A74AD"/>
    <w:rsid w:val="004B0BFE"/>
    <w:rsid w:val="004B36DF"/>
    <w:rsid w:val="004B3E69"/>
    <w:rsid w:val="004B46BB"/>
    <w:rsid w:val="004C12FE"/>
    <w:rsid w:val="004C1D4E"/>
    <w:rsid w:val="004C2C67"/>
    <w:rsid w:val="004C5C46"/>
    <w:rsid w:val="004C7DA8"/>
    <w:rsid w:val="004D1024"/>
    <w:rsid w:val="004D178E"/>
    <w:rsid w:val="004D2801"/>
    <w:rsid w:val="004D4A15"/>
    <w:rsid w:val="004D4B33"/>
    <w:rsid w:val="004D4FDF"/>
    <w:rsid w:val="004D50AC"/>
    <w:rsid w:val="004D51CC"/>
    <w:rsid w:val="004E2902"/>
    <w:rsid w:val="004E42A8"/>
    <w:rsid w:val="004E5134"/>
    <w:rsid w:val="004F2C71"/>
    <w:rsid w:val="004F5329"/>
    <w:rsid w:val="004F6161"/>
    <w:rsid w:val="004F7EEA"/>
    <w:rsid w:val="0050265E"/>
    <w:rsid w:val="00502F31"/>
    <w:rsid w:val="00506432"/>
    <w:rsid w:val="005067B4"/>
    <w:rsid w:val="0051008E"/>
    <w:rsid w:val="00512B26"/>
    <w:rsid w:val="00514B4D"/>
    <w:rsid w:val="00515FC1"/>
    <w:rsid w:val="0051753E"/>
    <w:rsid w:val="00523039"/>
    <w:rsid w:val="00523D87"/>
    <w:rsid w:val="00532D25"/>
    <w:rsid w:val="00533597"/>
    <w:rsid w:val="00535240"/>
    <w:rsid w:val="00537A0F"/>
    <w:rsid w:val="0054025E"/>
    <w:rsid w:val="00540FDC"/>
    <w:rsid w:val="00542BDF"/>
    <w:rsid w:val="005454E9"/>
    <w:rsid w:val="00547A70"/>
    <w:rsid w:val="00551698"/>
    <w:rsid w:val="0055267A"/>
    <w:rsid w:val="00554DB2"/>
    <w:rsid w:val="005554C8"/>
    <w:rsid w:val="00555545"/>
    <w:rsid w:val="00557BD3"/>
    <w:rsid w:val="00560A53"/>
    <w:rsid w:val="00562983"/>
    <w:rsid w:val="005643D2"/>
    <w:rsid w:val="00564EBC"/>
    <w:rsid w:val="00571E5E"/>
    <w:rsid w:val="005727B6"/>
    <w:rsid w:val="005745CE"/>
    <w:rsid w:val="00574C90"/>
    <w:rsid w:val="00577C18"/>
    <w:rsid w:val="00577C8A"/>
    <w:rsid w:val="00581B79"/>
    <w:rsid w:val="00582768"/>
    <w:rsid w:val="00583E6D"/>
    <w:rsid w:val="0058479E"/>
    <w:rsid w:val="00593650"/>
    <w:rsid w:val="00593910"/>
    <w:rsid w:val="0059601F"/>
    <w:rsid w:val="005A0867"/>
    <w:rsid w:val="005A2D58"/>
    <w:rsid w:val="005A5565"/>
    <w:rsid w:val="005A57FA"/>
    <w:rsid w:val="005A64D1"/>
    <w:rsid w:val="005B42F9"/>
    <w:rsid w:val="005B488D"/>
    <w:rsid w:val="005B5432"/>
    <w:rsid w:val="005B604B"/>
    <w:rsid w:val="005C33DA"/>
    <w:rsid w:val="005C47EA"/>
    <w:rsid w:val="005C5342"/>
    <w:rsid w:val="005D0FF8"/>
    <w:rsid w:val="005D29B9"/>
    <w:rsid w:val="005D48B7"/>
    <w:rsid w:val="005F5970"/>
    <w:rsid w:val="005F7DED"/>
    <w:rsid w:val="006007DE"/>
    <w:rsid w:val="006051A9"/>
    <w:rsid w:val="006055C3"/>
    <w:rsid w:val="00605E12"/>
    <w:rsid w:val="00605E23"/>
    <w:rsid w:val="00607A7D"/>
    <w:rsid w:val="0061035D"/>
    <w:rsid w:val="00610419"/>
    <w:rsid w:val="006141DE"/>
    <w:rsid w:val="00616312"/>
    <w:rsid w:val="006207B6"/>
    <w:rsid w:val="00625720"/>
    <w:rsid w:val="00631CF4"/>
    <w:rsid w:val="006350E3"/>
    <w:rsid w:val="00644C62"/>
    <w:rsid w:val="00646760"/>
    <w:rsid w:val="00660C60"/>
    <w:rsid w:val="00661A96"/>
    <w:rsid w:val="00680CC7"/>
    <w:rsid w:val="006817E9"/>
    <w:rsid w:val="00687C3C"/>
    <w:rsid w:val="00687F5A"/>
    <w:rsid w:val="00690D0B"/>
    <w:rsid w:val="006A5C4A"/>
    <w:rsid w:val="006A69C3"/>
    <w:rsid w:val="006B1A20"/>
    <w:rsid w:val="006B1AC3"/>
    <w:rsid w:val="006B1C04"/>
    <w:rsid w:val="006B27AA"/>
    <w:rsid w:val="006B3B5C"/>
    <w:rsid w:val="006B50E5"/>
    <w:rsid w:val="006B5AF9"/>
    <w:rsid w:val="006C238A"/>
    <w:rsid w:val="006C386D"/>
    <w:rsid w:val="006C5B26"/>
    <w:rsid w:val="006D3336"/>
    <w:rsid w:val="006D53B6"/>
    <w:rsid w:val="006E1F5F"/>
    <w:rsid w:val="006E4296"/>
    <w:rsid w:val="006E6403"/>
    <w:rsid w:val="006E6EAF"/>
    <w:rsid w:val="006F3907"/>
    <w:rsid w:val="006F3BB1"/>
    <w:rsid w:val="006F4492"/>
    <w:rsid w:val="006F508C"/>
    <w:rsid w:val="006F607E"/>
    <w:rsid w:val="006F6D51"/>
    <w:rsid w:val="00700C7E"/>
    <w:rsid w:val="0070331C"/>
    <w:rsid w:val="007074B9"/>
    <w:rsid w:val="00711157"/>
    <w:rsid w:val="00712F08"/>
    <w:rsid w:val="00713BA7"/>
    <w:rsid w:val="007146EB"/>
    <w:rsid w:val="00715AF0"/>
    <w:rsid w:val="0071614C"/>
    <w:rsid w:val="00725DF3"/>
    <w:rsid w:val="007302BB"/>
    <w:rsid w:val="00736130"/>
    <w:rsid w:val="0073680C"/>
    <w:rsid w:val="00740ABE"/>
    <w:rsid w:val="00743A5B"/>
    <w:rsid w:val="00746025"/>
    <w:rsid w:val="0075201B"/>
    <w:rsid w:val="00761411"/>
    <w:rsid w:val="007619CE"/>
    <w:rsid w:val="0076250C"/>
    <w:rsid w:val="00762F35"/>
    <w:rsid w:val="00764C25"/>
    <w:rsid w:val="00765E30"/>
    <w:rsid w:val="0077392C"/>
    <w:rsid w:val="007754EB"/>
    <w:rsid w:val="00777FAC"/>
    <w:rsid w:val="00784376"/>
    <w:rsid w:val="007847D4"/>
    <w:rsid w:val="00786C0F"/>
    <w:rsid w:val="00787759"/>
    <w:rsid w:val="00790ABD"/>
    <w:rsid w:val="00792BB8"/>
    <w:rsid w:val="00795D34"/>
    <w:rsid w:val="007970A7"/>
    <w:rsid w:val="0079759A"/>
    <w:rsid w:val="007979EE"/>
    <w:rsid w:val="007A0280"/>
    <w:rsid w:val="007A431A"/>
    <w:rsid w:val="007A485D"/>
    <w:rsid w:val="007B229E"/>
    <w:rsid w:val="007B4134"/>
    <w:rsid w:val="007B49C1"/>
    <w:rsid w:val="007B7190"/>
    <w:rsid w:val="007C3A7F"/>
    <w:rsid w:val="007C3EF6"/>
    <w:rsid w:val="007C5ED7"/>
    <w:rsid w:val="007D28D8"/>
    <w:rsid w:val="007D6483"/>
    <w:rsid w:val="007E0A4B"/>
    <w:rsid w:val="007E1BFD"/>
    <w:rsid w:val="007E2875"/>
    <w:rsid w:val="007E3133"/>
    <w:rsid w:val="007E42D8"/>
    <w:rsid w:val="007E5CA1"/>
    <w:rsid w:val="007E6020"/>
    <w:rsid w:val="007E6467"/>
    <w:rsid w:val="007E64B8"/>
    <w:rsid w:val="007E7999"/>
    <w:rsid w:val="007F31B7"/>
    <w:rsid w:val="007F42CA"/>
    <w:rsid w:val="007F44F6"/>
    <w:rsid w:val="007F4AD2"/>
    <w:rsid w:val="007F6966"/>
    <w:rsid w:val="007F7861"/>
    <w:rsid w:val="007F7E1C"/>
    <w:rsid w:val="008006B5"/>
    <w:rsid w:val="00802595"/>
    <w:rsid w:val="00804B81"/>
    <w:rsid w:val="00805C51"/>
    <w:rsid w:val="008106B4"/>
    <w:rsid w:val="00812B62"/>
    <w:rsid w:val="0081337E"/>
    <w:rsid w:val="00814095"/>
    <w:rsid w:val="00817A0C"/>
    <w:rsid w:val="00820C2A"/>
    <w:rsid w:val="00824ED6"/>
    <w:rsid w:val="00833040"/>
    <w:rsid w:val="00833845"/>
    <w:rsid w:val="00834D49"/>
    <w:rsid w:val="00836698"/>
    <w:rsid w:val="00836B72"/>
    <w:rsid w:val="0084115F"/>
    <w:rsid w:val="00843EBB"/>
    <w:rsid w:val="00845FF1"/>
    <w:rsid w:val="0085072C"/>
    <w:rsid w:val="00854D8F"/>
    <w:rsid w:val="00863295"/>
    <w:rsid w:val="0086460C"/>
    <w:rsid w:val="00865B00"/>
    <w:rsid w:val="00870514"/>
    <w:rsid w:val="00872043"/>
    <w:rsid w:val="00883DE7"/>
    <w:rsid w:val="00886783"/>
    <w:rsid w:val="00887CBC"/>
    <w:rsid w:val="00890606"/>
    <w:rsid w:val="0089298D"/>
    <w:rsid w:val="00896997"/>
    <w:rsid w:val="008A14E2"/>
    <w:rsid w:val="008A2621"/>
    <w:rsid w:val="008A431E"/>
    <w:rsid w:val="008A6B1C"/>
    <w:rsid w:val="008B286B"/>
    <w:rsid w:val="008B7C1A"/>
    <w:rsid w:val="008C4861"/>
    <w:rsid w:val="008C59C6"/>
    <w:rsid w:val="008C5F66"/>
    <w:rsid w:val="008D2520"/>
    <w:rsid w:val="008D3333"/>
    <w:rsid w:val="008D33A0"/>
    <w:rsid w:val="008D3F14"/>
    <w:rsid w:val="008D5DF6"/>
    <w:rsid w:val="008D7198"/>
    <w:rsid w:val="008E35E1"/>
    <w:rsid w:val="008E3CB7"/>
    <w:rsid w:val="008E5A0B"/>
    <w:rsid w:val="008E77B3"/>
    <w:rsid w:val="008F5262"/>
    <w:rsid w:val="008F5C1D"/>
    <w:rsid w:val="008F7299"/>
    <w:rsid w:val="00900019"/>
    <w:rsid w:val="00901B82"/>
    <w:rsid w:val="009034F0"/>
    <w:rsid w:val="00903EB0"/>
    <w:rsid w:val="0090458D"/>
    <w:rsid w:val="00904D96"/>
    <w:rsid w:val="00911A21"/>
    <w:rsid w:val="00911A52"/>
    <w:rsid w:val="009129A5"/>
    <w:rsid w:val="00913D53"/>
    <w:rsid w:val="009144F8"/>
    <w:rsid w:val="009171C1"/>
    <w:rsid w:val="00923591"/>
    <w:rsid w:val="00923F98"/>
    <w:rsid w:val="009304EB"/>
    <w:rsid w:val="00930626"/>
    <w:rsid w:val="009316BF"/>
    <w:rsid w:val="009346B0"/>
    <w:rsid w:val="009376EA"/>
    <w:rsid w:val="00944A79"/>
    <w:rsid w:val="00946AC1"/>
    <w:rsid w:val="00950906"/>
    <w:rsid w:val="009513F1"/>
    <w:rsid w:val="009525F3"/>
    <w:rsid w:val="00952FF3"/>
    <w:rsid w:val="0095678B"/>
    <w:rsid w:val="00957370"/>
    <w:rsid w:val="009573D5"/>
    <w:rsid w:val="00962C2F"/>
    <w:rsid w:val="00967F95"/>
    <w:rsid w:val="0097345E"/>
    <w:rsid w:val="00976EC6"/>
    <w:rsid w:val="0097701D"/>
    <w:rsid w:val="00977CEA"/>
    <w:rsid w:val="00982811"/>
    <w:rsid w:val="009858AF"/>
    <w:rsid w:val="00985A20"/>
    <w:rsid w:val="009944F8"/>
    <w:rsid w:val="00996123"/>
    <w:rsid w:val="009A29FC"/>
    <w:rsid w:val="009A2C91"/>
    <w:rsid w:val="009A3517"/>
    <w:rsid w:val="009A5616"/>
    <w:rsid w:val="009A6681"/>
    <w:rsid w:val="009B576A"/>
    <w:rsid w:val="009B7DFB"/>
    <w:rsid w:val="009C2F86"/>
    <w:rsid w:val="009C7506"/>
    <w:rsid w:val="009C7E96"/>
    <w:rsid w:val="009D7A18"/>
    <w:rsid w:val="009E6B9A"/>
    <w:rsid w:val="009F66CE"/>
    <w:rsid w:val="009F722F"/>
    <w:rsid w:val="00A0558C"/>
    <w:rsid w:val="00A10986"/>
    <w:rsid w:val="00A14ABD"/>
    <w:rsid w:val="00A1564F"/>
    <w:rsid w:val="00A15DD5"/>
    <w:rsid w:val="00A239C8"/>
    <w:rsid w:val="00A247E6"/>
    <w:rsid w:val="00A2546E"/>
    <w:rsid w:val="00A3192D"/>
    <w:rsid w:val="00A373E0"/>
    <w:rsid w:val="00A3746D"/>
    <w:rsid w:val="00A40DD3"/>
    <w:rsid w:val="00A42294"/>
    <w:rsid w:val="00A46F83"/>
    <w:rsid w:val="00A51539"/>
    <w:rsid w:val="00A51570"/>
    <w:rsid w:val="00A560F7"/>
    <w:rsid w:val="00A57854"/>
    <w:rsid w:val="00A578DD"/>
    <w:rsid w:val="00A60026"/>
    <w:rsid w:val="00A6052E"/>
    <w:rsid w:val="00A6183F"/>
    <w:rsid w:val="00A64FDF"/>
    <w:rsid w:val="00A65C7C"/>
    <w:rsid w:val="00A666EF"/>
    <w:rsid w:val="00A67304"/>
    <w:rsid w:val="00A721A7"/>
    <w:rsid w:val="00A727A2"/>
    <w:rsid w:val="00A7424B"/>
    <w:rsid w:val="00A752C8"/>
    <w:rsid w:val="00A7685E"/>
    <w:rsid w:val="00A81734"/>
    <w:rsid w:val="00A81BC1"/>
    <w:rsid w:val="00A90752"/>
    <w:rsid w:val="00A944BF"/>
    <w:rsid w:val="00A94CF4"/>
    <w:rsid w:val="00A95A12"/>
    <w:rsid w:val="00AA66AB"/>
    <w:rsid w:val="00AB613E"/>
    <w:rsid w:val="00AC3C88"/>
    <w:rsid w:val="00AD1D51"/>
    <w:rsid w:val="00AD29A4"/>
    <w:rsid w:val="00AD3661"/>
    <w:rsid w:val="00AD3E1C"/>
    <w:rsid w:val="00AD75C1"/>
    <w:rsid w:val="00AE1646"/>
    <w:rsid w:val="00AE1B5A"/>
    <w:rsid w:val="00AE1E41"/>
    <w:rsid w:val="00AE5615"/>
    <w:rsid w:val="00AF07A5"/>
    <w:rsid w:val="00AF3D75"/>
    <w:rsid w:val="00AF71F7"/>
    <w:rsid w:val="00AF7765"/>
    <w:rsid w:val="00B01740"/>
    <w:rsid w:val="00B026E1"/>
    <w:rsid w:val="00B02D42"/>
    <w:rsid w:val="00B04920"/>
    <w:rsid w:val="00B04E0C"/>
    <w:rsid w:val="00B059AE"/>
    <w:rsid w:val="00B05C26"/>
    <w:rsid w:val="00B05CFA"/>
    <w:rsid w:val="00B06361"/>
    <w:rsid w:val="00B11856"/>
    <w:rsid w:val="00B13BEA"/>
    <w:rsid w:val="00B15FF1"/>
    <w:rsid w:val="00B166FA"/>
    <w:rsid w:val="00B172EA"/>
    <w:rsid w:val="00B2097A"/>
    <w:rsid w:val="00B22121"/>
    <w:rsid w:val="00B23E26"/>
    <w:rsid w:val="00B24E24"/>
    <w:rsid w:val="00B312F2"/>
    <w:rsid w:val="00B32986"/>
    <w:rsid w:val="00B34461"/>
    <w:rsid w:val="00B35DB1"/>
    <w:rsid w:val="00B409E9"/>
    <w:rsid w:val="00B416D9"/>
    <w:rsid w:val="00B46372"/>
    <w:rsid w:val="00B5031D"/>
    <w:rsid w:val="00B5055C"/>
    <w:rsid w:val="00B50CAE"/>
    <w:rsid w:val="00B557F5"/>
    <w:rsid w:val="00B6003F"/>
    <w:rsid w:val="00B6531B"/>
    <w:rsid w:val="00B65478"/>
    <w:rsid w:val="00B656FD"/>
    <w:rsid w:val="00B702AE"/>
    <w:rsid w:val="00B70757"/>
    <w:rsid w:val="00B75315"/>
    <w:rsid w:val="00B770B0"/>
    <w:rsid w:val="00B770E4"/>
    <w:rsid w:val="00B80738"/>
    <w:rsid w:val="00B831D0"/>
    <w:rsid w:val="00B83799"/>
    <w:rsid w:val="00B86063"/>
    <w:rsid w:val="00B866D5"/>
    <w:rsid w:val="00B903F7"/>
    <w:rsid w:val="00B9382B"/>
    <w:rsid w:val="00B95CD2"/>
    <w:rsid w:val="00B96F73"/>
    <w:rsid w:val="00BA327F"/>
    <w:rsid w:val="00BA4108"/>
    <w:rsid w:val="00BA61DC"/>
    <w:rsid w:val="00BA6D9F"/>
    <w:rsid w:val="00BA79AB"/>
    <w:rsid w:val="00BB02CF"/>
    <w:rsid w:val="00BB0818"/>
    <w:rsid w:val="00BB0B86"/>
    <w:rsid w:val="00BB740A"/>
    <w:rsid w:val="00BC05F9"/>
    <w:rsid w:val="00BC1410"/>
    <w:rsid w:val="00BC2521"/>
    <w:rsid w:val="00BC39C9"/>
    <w:rsid w:val="00BC3D52"/>
    <w:rsid w:val="00BC5D28"/>
    <w:rsid w:val="00BD2CFA"/>
    <w:rsid w:val="00BD3802"/>
    <w:rsid w:val="00BD4834"/>
    <w:rsid w:val="00BE1793"/>
    <w:rsid w:val="00BE4B43"/>
    <w:rsid w:val="00BE5CF4"/>
    <w:rsid w:val="00BE6BC6"/>
    <w:rsid w:val="00BF19C8"/>
    <w:rsid w:val="00BF22F3"/>
    <w:rsid w:val="00C02755"/>
    <w:rsid w:val="00C032DE"/>
    <w:rsid w:val="00C049CC"/>
    <w:rsid w:val="00C0599C"/>
    <w:rsid w:val="00C07F1D"/>
    <w:rsid w:val="00C11B6E"/>
    <w:rsid w:val="00C135F9"/>
    <w:rsid w:val="00C16CEE"/>
    <w:rsid w:val="00C24AEB"/>
    <w:rsid w:val="00C2536A"/>
    <w:rsid w:val="00C31658"/>
    <w:rsid w:val="00C321F1"/>
    <w:rsid w:val="00C34A69"/>
    <w:rsid w:val="00C37113"/>
    <w:rsid w:val="00C4027D"/>
    <w:rsid w:val="00C40621"/>
    <w:rsid w:val="00C40F80"/>
    <w:rsid w:val="00C44853"/>
    <w:rsid w:val="00C44E35"/>
    <w:rsid w:val="00C50827"/>
    <w:rsid w:val="00C50F6F"/>
    <w:rsid w:val="00C5110D"/>
    <w:rsid w:val="00C5413E"/>
    <w:rsid w:val="00C5671D"/>
    <w:rsid w:val="00C572F0"/>
    <w:rsid w:val="00C735F7"/>
    <w:rsid w:val="00C744E0"/>
    <w:rsid w:val="00C74A5E"/>
    <w:rsid w:val="00C766B9"/>
    <w:rsid w:val="00C8407E"/>
    <w:rsid w:val="00C87366"/>
    <w:rsid w:val="00C9116E"/>
    <w:rsid w:val="00C9148C"/>
    <w:rsid w:val="00C91521"/>
    <w:rsid w:val="00C949CB"/>
    <w:rsid w:val="00C94CF5"/>
    <w:rsid w:val="00CA68E7"/>
    <w:rsid w:val="00CB043C"/>
    <w:rsid w:val="00CB1426"/>
    <w:rsid w:val="00CB7554"/>
    <w:rsid w:val="00CB7804"/>
    <w:rsid w:val="00CC2AE7"/>
    <w:rsid w:val="00CD1D38"/>
    <w:rsid w:val="00CD1FAB"/>
    <w:rsid w:val="00CD2472"/>
    <w:rsid w:val="00CD5BDC"/>
    <w:rsid w:val="00CD6DAD"/>
    <w:rsid w:val="00CD74A2"/>
    <w:rsid w:val="00CE08B2"/>
    <w:rsid w:val="00CE179B"/>
    <w:rsid w:val="00CE1946"/>
    <w:rsid w:val="00CE288E"/>
    <w:rsid w:val="00CE530E"/>
    <w:rsid w:val="00CE603E"/>
    <w:rsid w:val="00CF1A64"/>
    <w:rsid w:val="00CF6271"/>
    <w:rsid w:val="00CF6C4B"/>
    <w:rsid w:val="00CF72B7"/>
    <w:rsid w:val="00D032F2"/>
    <w:rsid w:val="00D1269B"/>
    <w:rsid w:val="00D13526"/>
    <w:rsid w:val="00D144A3"/>
    <w:rsid w:val="00D14BDD"/>
    <w:rsid w:val="00D14D53"/>
    <w:rsid w:val="00D1599A"/>
    <w:rsid w:val="00D2322D"/>
    <w:rsid w:val="00D300ED"/>
    <w:rsid w:val="00D31035"/>
    <w:rsid w:val="00D320B0"/>
    <w:rsid w:val="00D32237"/>
    <w:rsid w:val="00D37EAF"/>
    <w:rsid w:val="00D404F7"/>
    <w:rsid w:val="00D42CF8"/>
    <w:rsid w:val="00D43A67"/>
    <w:rsid w:val="00D4489D"/>
    <w:rsid w:val="00D44A65"/>
    <w:rsid w:val="00D452E9"/>
    <w:rsid w:val="00D46812"/>
    <w:rsid w:val="00D5312B"/>
    <w:rsid w:val="00D55B34"/>
    <w:rsid w:val="00D5784C"/>
    <w:rsid w:val="00D61EBA"/>
    <w:rsid w:val="00D6236F"/>
    <w:rsid w:val="00D647F5"/>
    <w:rsid w:val="00D66E87"/>
    <w:rsid w:val="00D67F0A"/>
    <w:rsid w:val="00D74022"/>
    <w:rsid w:val="00D770C4"/>
    <w:rsid w:val="00D83CD9"/>
    <w:rsid w:val="00D84160"/>
    <w:rsid w:val="00D8631E"/>
    <w:rsid w:val="00D86677"/>
    <w:rsid w:val="00D90F5A"/>
    <w:rsid w:val="00D937FA"/>
    <w:rsid w:val="00D93EDA"/>
    <w:rsid w:val="00DA169F"/>
    <w:rsid w:val="00DA2156"/>
    <w:rsid w:val="00DA3518"/>
    <w:rsid w:val="00DA4AD6"/>
    <w:rsid w:val="00DA6694"/>
    <w:rsid w:val="00DA6C19"/>
    <w:rsid w:val="00DB4581"/>
    <w:rsid w:val="00DC117F"/>
    <w:rsid w:val="00DC1FF8"/>
    <w:rsid w:val="00DC74C2"/>
    <w:rsid w:val="00DD744A"/>
    <w:rsid w:val="00DE0144"/>
    <w:rsid w:val="00DE1C0A"/>
    <w:rsid w:val="00DE46D0"/>
    <w:rsid w:val="00DE5D00"/>
    <w:rsid w:val="00DE632C"/>
    <w:rsid w:val="00DF00C9"/>
    <w:rsid w:val="00DF13A8"/>
    <w:rsid w:val="00DF244D"/>
    <w:rsid w:val="00DF4733"/>
    <w:rsid w:val="00DF50A5"/>
    <w:rsid w:val="00DF6295"/>
    <w:rsid w:val="00DF6973"/>
    <w:rsid w:val="00DF7470"/>
    <w:rsid w:val="00DF74F1"/>
    <w:rsid w:val="00DF7E5F"/>
    <w:rsid w:val="00E02732"/>
    <w:rsid w:val="00E07B50"/>
    <w:rsid w:val="00E116D3"/>
    <w:rsid w:val="00E13EF9"/>
    <w:rsid w:val="00E245C1"/>
    <w:rsid w:val="00E33819"/>
    <w:rsid w:val="00E34537"/>
    <w:rsid w:val="00E34FEF"/>
    <w:rsid w:val="00E35A29"/>
    <w:rsid w:val="00E35E63"/>
    <w:rsid w:val="00E45C54"/>
    <w:rsid w:val="00E46445"/>
    <w:rsid w:val="00E4775A"/>
    <w:rsid w:val="00E50A27"/>
    <w:rsid w:val="00E54F0F"/>
    <w:rsid w:val="00E60644"/>
    <w:rsid w:val="00E617D7"/>
    <w:rsid w:val="00E629F6"/>
    <w:rsid w:val="00E640B7"/>
    <w:rsid w:val="00E730AC"/>
    <w:rsid w:val="00E736DD"/>
    <w:rsid w:val="00E736EB"/>
    <w:rsid w:val="00E76C01"/>
    <w:rsid w:val="00E82B71"/>
    <w:rsid w:val="00E835D5"/>
    <w:rsid w:val="00E843D3"/>
    <w:rsid w:val="00E90F20"/>
    <w:rsid w:val="00E930C3"/>
    <w:rsid w:val="00E93320"/>
    <w:rsid w:val="00E94AE9"/>
    <w:rsid w:val="00EA2C22"/>
    <w:rsid w:val="00EA35BD"/>
    <w:rsid w:val="00EA5CCB"/>
    <w:rsid w:val="00EA7918"/>
    <w:rsid w:val="00EB3C5B"/>
    <w:rsid w:val="00ED3529"/>
    <w:rsid w:val="00ED5A86"/>
    <w:rsid w:val="00ED665A"/>
    <w:rsid w:val="00EE220F"/>
    <w:rsid w:val="00EE2231"/>
    <w:rsid w:val="00EE43CE"/>
    <w:rsid w:val="00EE596A"/>
    <w:rsid w:val="00EE6DCD"/>
    <w:rsid w:val="00EF1732"/>
    <w:rsid w:val="00EF5A97"/>
    <w:rsid w:val="00F0069C"/>
    <w:rsid w:val="00F02FD5"/>
    <w:rsid w:val="00F059B7"/>
    <w:rsid w:val="00F06A35"/>
    <w:rsid w:val="00F07F63"/>
    <w:rsid w:val="00F11F23"/>
    <w:rsid w:val="00F128BA"/>
    <w:rsid w:val="00F12954"/>
    <w:rsid w:val="00F14B1F"/>
    <w:rsid w:val="00F15C3B"/>
    <w:rsid w:val="00F15D7F"/>
    <w:rsid w:val="00F1792C"/>
    <w:rsid w:val="00F21840"/>
    <w:rsid w:val="00F22A31"/>
    <w:rsid w:val="00F254B4"/>
    <w:rsid w:val="00F2667D"/>
    <w:rsid w:val="00F31365"/>
    <w:rsid w:val="00F367E4"/>
    <w:rsid w:val="00F418AC"/>
    <w:rsid w:val="00F46930"/>
    <w:rsid w:val="00F51CD9"/>
    <w:rsid w:val="00F52426"/>
    <w:rsid w:val="00F53F8D"/>
    <w:rsid w:val="00F54312"/>
    <w:rsid w:val="00F55A33"/>
    <w:rsid w:val="00F6134A"/>
    <w:rsid w:val="00F72A00"/>
    <w:rsid w:val="00F74A48"/>
    <w:rsid w:val="00F76648"/>
    <w:rsid w:val="00F806EA"/>
    <w:rsid w:val="00F817E2"/>
    <w:rsid w:val="00F82814"/>
    <w:rsid w:val="00F857E7"/>
    <w:rsid w:val="00F96428"/>
    <w:rsid w:val="00F96B05"/>
    <w:rsid w:val="00F97E4C"/>
    <w:rsid w:val="00FA04D0"/>
    <w:rsid w:val="00FA50AC"/>
    <w:rsid w:val="00FA527C"/>
    <w:rsid w:val="00FA55FA"/>
    <w:rsid w:val="00FA68FB"/>
    <w:rsid w:val="00FA7CEA"/>
    <w:rsid w:val="00FA7F0B"/>
    <w:rsid w:val="00FB71A5"/>
    <w:rsid w:val="00FC13B8"/>
    <w:rsid w:val="00FC168A"/>
    <w:rsid w:val="00FC3AB4"/>
    <w:rsid w:val="00FD12F0"/>
    <w:rsid w:val="00FD20CE"/>
    <w:rsid w:val="00FD59EC"/>
    <w:rsid w:val="00FD651B"/>
    <w:rsid w:val="00FE01A0"/>
    <w:rsid w:val="00FE0B70"/>
    <w:rsid w:val="00FE1969"/>
    <w:rsid w:val="00FE7FEA"/>
    <w:rsid w:val="00FF5121"/>
    <w:rsid w:val="00FF698A"/>
    <w:rsid w:val="00FF7B74"/>
    <w:rsid w:val="02AB7CA6"/>
    <w:rsid w:val="30DF358A"/>
    <w:rsid w:val="43EB5AC0"/>
    <w:rsid w:val="4AFC3CEE"/>
    <w:rsid w:val="51F805AE"/>
    <w:rsid w:val="54733BAA"/>
    <w:rsid w:val="56A21C40"/>
    <w:rsid w:val="62F35297"/>
    <w:rsid w:val="7F645779"/>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qFormat/>
    <w:uiPriority w:val="0"/>
    <w:pPr>
      <w:ind w:firstLine="420" w:firstLineChars="200"/>
    </w:pPr>
  </w:style>
  <w:style w:type="paragraph" w:customStyle="1" w:styleId="8">
    <w:name w:val="列出段落2"/>
    <w:basedOn w:val="1"/>
    <w:qFormat/>
    <w:uiPriority w:val="34"/>
    <w:pPr>
      <w:ind w:firstLine="420" w:firstLineChars="200"/>
    </w:pPr>
  </w:style>
  <w:style w:type="character" w:customStyle="1" w:styleId="9">
    <w:name w:val="页眉 Char"/>
    <w:basedOn w:val="4"/>
    <w:link w:val="3"/>
    <w:qFormat/>
    <w:uiPriority w:val="99"/>
    <w:rPr>
      <w:rFonts w:ascii="Calibri" w:hAnsi="Calibri" w:eastAsia="宋体" w:cs="Calibri"/>
      <w:sz w:val="18"/>
      <w:szCs w:val="18"/>
    </w:rPr>
  </w:style>
  <w:style w:type="character" w:customStyle="1" w:styleId="10">
    <w:name w:val="页脚 Char"/>
    <w:basedOn w:val="4"/>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403</Words>
  <Characters>2301</Characters>
  <Lines>19</Lines>
  <Paragraphs>5</Paragraphs>
  <TotalTime>0</TotalTime>
  <ScaleCrop>false</ScaleCrop>
  <LinksUpToDate>false</LinksUpToDate>
  <CharactersWithSpaces>2699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2017-09-12T00:32:00Z</dcterms:created>
  <dc:creator>????</dc:creator>
  <cp:lastModifiedBy>Administrator</cp:lastModifiedBy>
  <dcterms:modified xsi:type="dcterms:W3CDTF">2017-09-30T02:44:43Z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