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Times New Roman" w:eastAsia="仿宋_GB2312" w:cs="方正小标宋简体"/>
          <w:b/>
          <w:sz w:val="36"/>
          <w:szCs w:val="36"/>
        </w:rPr>
      </w:pPr>
    </w:p>
    <w:p>
      <w:pPr>
        <w:jc w:val="center"/>
        <w:rPr>
          <w:rFonts w:ascii="仿宋_GB2312" w:hAnsi="Times New Roman" w:eastAsia="仿宋_GB2312" w:cs="方正小标宋简体"/>
          <w:b/>
          <w:sz w:val="36"/>
          <w:szCs w:val="36"/>
        </w:rPr>
      </w:pPr>
      <w:r>
        <w:rPr>
          <w:rFonts w:hint="eastAsia" w:ascii="仿宋_GB2312" w:hAnsi="Times New Roman" w:eastAsia="仿宋_GB2312" w:cs="方正小标宋简体"/>
          <w:b/>
          <w:sz w:val="36"/>
          <w:szCs w:val="36"/>
        </w:rPr>
        <w:t>省级部门整体支出绩效自评报告</w:t>
      </w:r>
    </w:p>
    <w:p>
      <w:pPr>
        <w:jc w:val="center"/>
        <w:rPr>
          <w:rFonts w:ascii="仿宋_GB2312" w:hAnsi="Times New Roman" w:eastAsia="仿宋_GB2312" w:cs="方正小标宋简体"/>
          <w:b/>
          <w:sz w:val="36"/>
          <w:szCs w:val="36"/>
        </w:rPr>
      </w:pPr>
    </w:p>
    <w:p>
      <w:pPr>
        <w:jc w:val="center"/>
        <w:rPr>
          <w:rFonts w:ascii="仿宋_GB2312" w:hAnsi="Times New Roman" w:eastAsia="仿宋_GB2312" w:cs="Times New Roman"/>
          <w:b/>
          <w:sz w:val="36"/>
          <w:szCs w:val="36"/>
        </w:rPr>
      </w:pPr>
    </w:p>
    <w:p>
      <w:pPr>
        <w:pStyle w:val="7"/>
        <w:numPr>
          <w:ilvl w:val="0"/>
          <w:numId w:val="1"/>
        </w:numPr>
        <w:ind w:firstLineChars="0"/>
        <w:rPr>
          <w:rFonts w:ascii="仿宋_GB2312" w:hAnsi="Times New Roman" w:eastAsia="仿宋_GB2312" w:cs="Times New Roman"/>
          <w:b/>
          <w:sz w:val="32"/>
          <w:szCs w:val="32"/>
        </w:rPr>
      </w:pPr>
      <w:r>
        <w:rPr>
          <w:rFonts w:hint="eastAsia" w:ascii="仿宋_GB2312" w:hAnsi="黑体" w:eastAsia="仿宋_GB2312" w:cs="黑体"/>
          <w:b/>
          <w:sz w:val="32"/>
          <w:szCs w:val="32"/>
        </w:rPr>
        <w:t>部门基本情况</w:t>
      </w:r>
    </w:p>
    <w:p>
      <w:pPr>
        <w:pStyle w:val="8"/>
        <w:numPr>
          <w:ilvl w:val="0"/>
          <w:numId w:val="2"/>
        </w:numPr>
        <w:ind w:firstLineChars="0"/>
        <w:rPr>
          <w:rFonts w:ascii="仿宋_GB2312" w:hAnsi="Times New Roman" w:eastAsia="仿宋_GB2312" w:cs="仿宋_GB2312"/>
          <w:b/>
          <w:sz w:val="32"/>
          <w:szCs w:val="32"/>
        </w:rPr>
      </w:pPr>
      <w:r>
        <w:fldChar w:fldCharType="begin"/>
      </w:r>
      <w:r>
        <w:instrText xml:space="preserve"> HYPERLINK \l "_Toc434746187" </w:instrText>
      </w:r>
      <w:r>
        <w:fldChar w:fldCharType="separate"/>
      </w:r>
      <w:r>
        <w:rPr>
          <w:rFonts w:hint="eastAsia" w:ascii="仿宋_GB2312" w:hAnsi="Times New Roman" w:eastAsia="仿宋_GB2312"/>
          <w:b/>
          <w:sz w:val="32"/>
          <w:szCs w:val="32"/>
        </w:rPr>
        <w:t>部门概况</w:t>
      </w:r>
      <w:r>
        <w:rPr>
          <w:rFonts w:hint="eastAsia" w:ascii="仿宋_GB2312" w:hAnsi="Times New Roman" w:eastAsia="仿宋_GB2312"/>
          <w:b/>
          <w:sz w:val="32"/>
          <w:szCs w:val="32"/>
        </w:rPr>
        <w:fldChar w:fldCharType="end"/>
      </w:r>
    </w:p>
    <w:p>
      <w:pPr>
        <w:ind w:firstLine="480" w:firstLineChars="150"/>
        <w:rPr>
          <w:rFonts w:ascii="仿宋_GB2312" w:eastAsia="仿宋_GB2312"/>
          <w:sz w:val="32"/>
          <w:szCs w:val="32"/>
        </w:rPr>
      </w:pPr>
      <w:r>
        <w:rPr>
          <w:rFonts w:hint="eastAsia" w:ascii="仿宋_GB2312" w:eastAsia="仿宋_GB2312"/>
          <w:sz w:val="32"/>
          <w:szCs w:val="32"/>
        </w:rPr>
        <w:t>根据《迪庆州农牧局关于印发201</w:t>
      </w:r>
      <w:r>
        <w:rPr>
          <w:rFonts w:hint="eastAsia" w:ascii="仿宋_GB2312" w:eastAsia="仿宋_GB2312"/>
          <w:sz w:val="32"/>
          <w:szCs w:val="32"/>
          <w:lang w:val="en-US" w:eastAsia="zh-CN"/>
        </w:rPr>
        <w:t>6</w:t>
      </w:r>
      <w:r>
        <w:rPr>
          <w:rFonts w:hint="eastAsia" w:ascii="仿宋_GB2312" w:eastAsia="仿宋_GB2312"/>
          <w:sz w:val="32"/>
          <w:szCs w:val="32"/>
        </w:rPr>
        <w:t>年主要粮油作物绿色高产高效创建活动实施方案的通知》，迪农牧发[201</w:t>
      </w:r>
      <w:r>
        <w:rPr>
          <w:rFonts w:hint="eastAsia" w:ascii="仿宋_GB2312" w:eastAsia="仿宋_GB2312"/>
          <w:sz w:val="32"/>
          <w:szCs w:val="32"/>
          <w:lang w:val="en-US" w:eastAsia="zh-CN"/>
        </w:rPr>
        <w:t>6</w:t>
      </w:r>
      <w:r>
        <w:rPr>
          <w:rFonts w:hint="eastAsia" w:ascii="仿宋_GB2312" w:eastAsia="仿宋_GB2312"/>
          <w:sz w:val="32"/>
          <w:szCs w:val="32"/>
        </w:rPr>
        <w:t>]28号文件，迪庆州农科所根据该实施方案进行了认真学习，进行了人员调整及充实，认真制定了《迪庆州农科所201</w:t>
      </w:r>
      <w:r>
        <w:rPr>
          <w:rFonts w:hint="eastAsia" w:ascii="仿宋_GB2312" w:eastAsia="仿宋_GB2312"/>
          <w:sz w:val="32"/>
          <w:szCs w:val="32"/>
          <w:lang w:val="en-US" w:eastAsia="zh-CN"/>
        </w:rPr>
        <w:t>6</w:t>
      </w:r>
      <w:r>
        <w:rPr>
          <w:rFonts w:hint="eastAsia" w:ascii="仿宋_GB2312" w:eastAsia="仿宋_GB2312"/>
          <w:sz w:val="32"/>
          <w:szCs w:val="32"/>
        </w:rPr>
        <w:t>年省农业发展专项粮食生产项目（玉米绿色高产高效创建）实施方案》，按照实施方案认真组织实施。</w:t>
      </w:r>
    </w:p>
    <w:p>
      <w:pPr>
        <w:rPr>
          <w:rFonts w:ascii="仿宋_GB2312" w:eastAsia="仿宋_GB2312"/>
          <w:sz w:val="32"/>
          <w:szCs w:val="32"/>
        </w:rPr>
      </w:pPr>
      <w:r>
        <w:rPr>
          <w:rFonts w:hint="eastAsia" w:ascii="仿宋_GB2312" w:eastAsia="仿宋_GB2312"/>
          <w:sz w:val="32"/>
          <w:szCs w:val="32"/>
        </w:rPr>
        <w:t xml:space="preserve">    1、实施地点：维西县叶枝镇倮那村、拉波洛村；保和镇拉河柱村</w:t>
      </w:r>
    </w:p>
    <w:p>
      <w:pPr>
        <w:ind w:firstLine="640" w:firstLineChars="200"/>
      </w:pPr>
      <w:r>
        <w:rPr>
          <w:rFonts w:hint="eastAsia" w:ascii="仿宋_GB2312" w:eastAsia="仿宋_GB2312"/>
          <w:sz w:val="32"/>
          <w:szCs w:val="32"/>
        </w:rPr>
        <w:t>2、建设规模：维西县叶枝镇拉波洛村、裸那村、保和镇拉河柱村开展</w:t>
      </w:r>
      <w:r>
        <w:rPr>
          <w:rFonts w:ascii="仿宋_GB2312" w:eastAsia="仿宋_GB2312"/>
          <w:sz w:val="32"/>
          <w:szCs w:val="32"/>
        </w:rPr>
        <w:t>1</w:t>
      </w:r>
      <w:r>
        <w:rPr>
          <w:rFonts w:hint="eastAsia" w:ascii="仿宋_GB2312" w:eastAsia="仿宋_GB2312"/>
          <w:sz w:val="32"/>
          <w:szCs w:val="32"/>
        </w:rPr>
        <w:t>片玉米高产创建活动，举办核心区</w:t>
      </w:r>
      <w:r>
        <w:rPr>
          <w:rFonts w:ascii="仿宋_GB2312" w:eastAsia="仿宋_GB2312"/>
          <w:sz w:val="32"/>
          <w:szCs w:val="32"/>
        </w:rPr>
        <w:t>100</w:t>
      </w:r>
      <w:r>
        <w:rPr>
          <w:rFonts w:hint="eastAsia" w:ascii="仿宋_GB2312" w:eastAsia="仿宋_GB2312"/>
          <w:sz w:val="32"/>
          <w:szCs w:val="32"/>
        </w:rPr>
        <w:t>亩，展示区</w:t>
      </w:r>
      <w:r>
        <w:rPr>
          <w:rFonts w:ascii="仿宋_GB2312" w:eastAsia="仿宋_GB2312"/>
          <w:sz w:val="32"/>
          <w:szCs w:val="32"/>
        </w:rPr>
        <w:t>1000</w:t>
      </w:r>
      <w:r>
        <w:rPr>
          <w:rFonts w:hint="eastAsia" w:ascii="仿宋_GB2312" w:eastAsia="仿宋_GB2312"/>
          <w:sz w:val="32"/>
          <w:szCs w:val="32"/>
        </w:rPr>
        <w:t>亩，辐射带动周边</w:t>
      </w:r>
      <w:r>
        <w:rPr>
          <w:rFonts w:ascii="仿宋_GB2312" w:eastAsia="仿宋_GB2312"/>
          <w:sz w:val="32"/>
          <w:szCs w:val="32"/>
        </w:rPr>
        <w:t>10000</w:t>
      </w:r>
      <w:r>
        <w:rPr>
          <w:rFonts w:hint="eastAsia" w:ascii="仿宋_GB2312" w:eastAsia="仿宋_GB2312"/>
          <w:sz w:val="32"/>
          <w:szCs w:val="32"/>
        </w:rPr>
        <w:t>亩。</w:t>
      </w:r>
    </w:p>
    <w:p>
      <w:pPr>
        <w:ind w:firstLine="643" w:firstLineChars="200"/>
        <w:rPr>
          <w:rFonts w:ascii="仿宋_GB2312" w:hAnsi="Times New Roman" w:eastAsia="仿宋_GB2312" w:cs="仿宋_GB2312"/>
          <w:b/>
          <w:sz w:val="32"/>
          <w:szCs w:val="32"/>
        </w:rPr>
      </w:pPr>
      <w:r>
        <w:rPr>
          <w:rFonts w:hint="eastAsia" w:ascii="仿宋_GB2312" w:eastAsia="仿宋_GB2312"/>
          <w:b/>
          <w:sz w:val="32"/>
          <w:szCs w:val="32"/>
        </w:rPr>
        <w:t>（二）</w:t>
      </w:r>
      <w:r>
        <w:fldChar w:fldCharType="begin"/>
      </w:r>
      <w:r>
        <w:instrText xml:space="preserve"> HYPERLINK \l "_Toc434746189" </w:instrText>
      </w:r>
      <w:r>
        <w:fldChar w:fldCharType="separate"/>
      </w:r>
      <w:r>
        <w:rPr>
          <w:rFonts w:hint="eastAsia" w:ascii="仿宋_GB2312" w:hAnsi="Times New Roman" w:eastAsia="仿宋_GB2312"/>
          <w:b/>
          <w:sz w:val="32"/>
          <w:szCs w:val="32"/>
        </w:rPr>
        <w:t>部门整体收支情况</w:t>
      </w:r>
      <w:r>
        <w:rPr>
          <w:rFonts w:hint="eastAsia" w:ascii="仿宋_GB2312" w:hAnsi="Times New Roman" w:eastAsia="仿宋_GB2312"/>
          <w:b/>
          <w:sz w:val="32"/>
          <w:szCs w:val="32"/>
        </w:rPr>
        <w:fldChar w:fldCharType="end"/>
      </w:r>
    </w:p>
    <w:p>
      <w:pPr>
        <w:rPr>
          <w:rFonts w:ascii="仿宋_GB2312" w:hAnsi="Times New Roman" w:eastAsia="仿宋_GB2312" w:cs="仿宋_GB2312"/>
          <w:sz w:val="32"/>
          <w:szCs w:val="32"/>
        </w:rPr>
      </w:pPr>
      <w:r>
        <w:rPr>
          <w:rFonts w:hint="eastAsia" w:ascii="仿宋_GB2312" w:hAnsi="Times New Roman" w:eastAsia="仿宋_GB2312" w:cs="仿宋_GB2312"/>
          <w:b/>
          <w:sz w:val="32"/>
          <w:szCs w:val="32"/>
        </w:rPr>
        <w:t xml:space="preserve">   </w:t>
      </w:r>
      <w:r>
        <w:rPr>
          <w:rFonts w:hint="eastAsia" w:ascii="仿宋_GB2312" w:hAnsi="Times New Roman" w:eastAsia="仿宋_GB2312" w:cs="仿宋_GB2312"/>
          <w:sz w:val="32"/>
          <w:szCs w:val="32"/>
        </w:rPr>
        <w:t xml:space="preserve"> 迪庆州农业科学研究所开展省级玉米高产创建项目共计投入资金</w:t>
      </w:r>
      <w:r>
        <w:rPr>
          <w:rFonts w:ascii="仿宋_GB2312" w:hAnsi="Times New Roman" w:eastAsia="仿宋_GB2312" w:cs="仿宋_GB2312"/>
          <w:sz w:val="32"/>
          <w:szCs w:val="32"/>
        </w:rPr>
        <w:t>20</w:t>
      </w:r>
      <w:r>
        <w:rPr>
          <w:rFonts w:hint="eastAsia" w:ascii="仿宋_GB2312" w:hAnsi="Times New Roman" w:eastAsia="仿宋_GB2312" w:cs="仿宋_GB2312"/>
          <w:sz w:val="32"/>
          <w:szCs w:val="32"/>
        </w:rPr>
        <w:t>万元，主要用于项目区的种子补助、肥料补助、地膜补助、农药补助、项目检查和测产验收等工作。具体使用情况如下：</w:t>
      </w:r>
    </w:p>
    <w:p>
      <w:pPr>
        <w:ind w:firstLine="640" w:firstLineChars="200"/>
        <w:rPr>
          <w:rFonts w:ascii="仿宋_GB2312" w:hAnsi="Times New Roman" w:eastAsia="仿宋_GB2312" w:cs="仿宋_GB2312"/>
          <w:sz w:val="32"/>
          <w:szCs w:val="32"/>
        </w:rPr>
      </w:pPr>
      <w:r>
        <w:rPr>
          <w:rFonts w:ascii="仿宋_GB2312" w:hAnsi="Times New Roman" w:eastAsia="仿宋_GB2312" w:cs="仿宋_GB2312"/>
          <w:sz w:val="32"/>
          <w:szCs w:val="32"/>
        </w:rPr>
        <w:t>1</w:t>
      </w:r>
      <w:r>
        <w:rPr>
          <w:rFonts w:hint="eastAsia" w:ascii="仿宋_GB2312" w:hAnsi="Times New Roman" w:eastAsia="仿宋_GB2312" w:cs="仿宋_GB2312"/>
          <w:sz w:val="32"/>
          <w:szCs w:val="32"/>
        </w:rPr>
        <w:t>：肥料：</w:t>
      </w:r>
      <w:r>
        <w:rPr>
          <w:rFonts w:ascii="仿宋_GB2312" w:hAnsi="Times New Roman" w:eastAsia="仿宋_GB2312" w:cs="仿宋_GB2312"/>
          <w:sz w:val="32"/>
          <w:szCs w:val="32"/>
        </w:rPr>
        <w:t>20</w:t>
      </w:r>
      <w:r>
        <w:rPr>
          <w:rFonts w:hint="eastAsia" w:ascii="仿宋_GB2312" w:hAnsi="Times New Roman" w:eastAsia="仿宋_GB2312" w:cs="仿宋_GB2312"/>
          <w:sz w:val="32"/>
          <w:szCs w:val="32"/>
        </w:rPr>
        <w:t>吨，</w:t>
      </w:r>
      <w:r>
        <w:rPr>
          <w:rFonts w:ascii="仿宋_GB2312" w:hAnsi="Times New Roman" w:eastAsia="仿宋_GB2312" w:cs="仿宋_GB2312"/>
          <w:sz w:val="32"/>
          <w:szCs w:val="32"/>
        </w:rPr>
        <w:t>2000</w:t>
      </w:r>
      <w:r>
        <w:rPr>
          <w:rFonts w:hint="eastAsia" w:ascii="仿宋_GB2312" w:hAnsi="Times New Roman" w:eastAsia="仿宋_GB2312" w:cs="仿宋_GB2312"/>
          <w:sz w:val="32"/>
          <w:szCs w:val="32"/>
        </w:rPr>
        <w:t>元</w:t>
      </w:r>
      <w:r>
        <w:rPr>
          <w:rFonts w:ascii="仿宋_GB2312" w:hAnsi="Times New Roman" w:eastAsia="仿宋_GB2312" w:cs="仿宋_GB2312"/>
          <w:sz w:val="32"/>
          <w:szCs w:val="32"/>
        </w:rPr>
        <w:t>/</w:t>
      </w:r>
      <w:r>
        <w:rPr>
          <w:rFonts w:hint="eastAsia" w:ascii="仿宋_GB2312" w:hAnsi="Times New Roman" w:eastAsia="仿宋_GB2312" w:cs="仿宋_GB2312"/>
          <w:sz w:val="32"/>
          <w:szCs w:val="32"/>
        </w:rPr>
        <w:t>吨，合计</w:t>
      </w:r>
      <w:r>
        <w:rPr>
          <w:rFonts w:ascii="仿宋_GB2312" w:hAnsi="Times New Roman" w:eastAsia="仿宋_GB2312" w:cs="仿宋_GB2312"/>
          <w:sz w:val="32"/>
          <w:szCs w:val="32"/>
        </w:rPr>
        <w:t>40000</w:t>
      </w:r>
      <w:r>
        <w:rPr>
          <w:rFonts w:hint="eastAsia" w:ascii="仿宋_GB2312" w:hAnsi="Times New Roman" w:eastAsia="仿宋_GB2312" w:cs="仿宋_GB2312"/>
          <w:sz w:val="32"/>
          <w:szCs w:val="32"/>
        </w:rPr>
        <w:t>元。附发放花名册。</w:t>
      </w:r>
    </w:p>
    <w:p>
      <w:pPr>
        <w:ind w:firstLine="640" w:firstLineChars="200"/>
        <w:rPr>
          <w:rFonts w:ascii="仿宋_GB2312" w:hAnsi="Times New Roman" w:eastAsia="仿宋_GB2312" w:cs="仿宋_GB2312"/>
          <w:sz w:val="32"/>
          <w:szCs w:val="32"/>
        </w:rPr>
      </w:pPr>
      <w:r>
        <w:rPr>
          <w:rFonts w:ascii="仿宋_GB2312" w:hAnsi="Times New Roman" w:eastAsia="仿宋_GB2312" w:cs="仿宋_GB2312"/>
          <w:sz w:val="32"/>
          <w:szCs w:val="32"/>
        </w:rPr>
        <w:t>2</w:t>
      </w:r>
      <w:r>
        <w:rPr>
          <w:rFonts w:hint="eastAsia" w:ascii="仿宋_GB2312" w:hAnsi="Times New Roman" w:eastAsia="仿宋_GB2312" w:cs="仿宋_GB2312"/>
          <w:sz w:val="32"/>
          <w:szCs w:val="32"/>
        </w:rPr>
        <w:t>：种子：</w:t>
      </w:r>
    </w:p>
    <w:p>
      <w:pPr>
        <w:ind w:firstLine="480" w:firstLineChars="150"/>
        <w:rPr>
          <w:rFonts w:ascii="仿宋_GB2312" w:hAnsi="Times New Roman" w:eastAsia="仿宋_GB2312" w:cs="仿宋_GB2312"/>
          <w:sz w:val="32"/>
          <w:szCs w:val="32"/>
        </w:rPr>
      </w:pPr>
      <w:r>
        <w:rPr>
          <w:rFonts w:hint="eastAsia" w:ascii="仿宋_GB2312" w:hAnsi="Times New Roman" w:eastAsia="仿宋_GB2312" w:cs="仿宋_GB2312"/>
          <w:sz w:val="32"/>
          <w:szCs w:val="32"/>
        </w:rPr>
        <w:t>（1）拉波洛：雅玉</w:t>
      </w:r>
      <w:r>
        <w:rPr>
          <w:rFonts w:ascii="仿宋_GB2312" w:hAnsi="Times New Roman" w:eastAsia="仿宋_GB2312" w:cs="仿宋_GB2312"/>
          <w:sz w:val="32"/>
          <w:szCs w:val="32"/>
        </w:rPr>
        <w:t>891</w:t>
      </w:r>
      <w:r>
        <w:rPr>
          <w:rFonts w:hint="eastAsia" w:ascii="仿宋_GB2312" w:hAnsi="Times New Roman" w:eastAsia="仿宋_GB2312" w:cs="仿宋_GB2312"/>
          <w:sz w:val="32"/>
          <w:szCs w:val="32"/>
        </w:rPr>
        <w:t>（170包）×46.00=7820.00元；</w:t>
      </w:r>
    </w:p>
    <w:p>
      <w:pPr>
        <w:rPr>
          <w:rFonts w:ascii="仿宋_GB2312" w:hAnsi="Times New Roman" w:eastAsia="仿宋_GB2312" w:cs="仿宋_GB2312"/>
          <w:sz w:val="32"/>
          <w:szCs w:val="32"/>
        </w:rPr>
      </w:pPr>
      <w:r>
        <w:rPr>
          <w:rFonts w:hint="eastAsia" w:ascii="仿宋_GB2312" w:hAnsi="Times New Roman" w:eastAsia="仿宋_GB2312" w:cs="仿宋_GB2312"/>
          <w:sz w:val="32"/>
          <w:szCs w:val="32"/>
        </w:rPr>
        <w:t xml:space="preserve">       曲辰</w:t>
      </w:r>
      <w:r>
        <w:rPr>
          <w:rFonts w:ascii="仿宋_GB2312" w:hAnsi="Times New Roman" w:eastAsia="仿宋_GB2312" w:cs="仿宋_GB2312"/>
          <w:sz w:val="32"/>
          <w:szCs w:val="32"/>
        </w:rPr>
        <w:t>9</w:t>
      </w:r>
      <w:r>
        <w:rPr>
          <w:rFonts w:hint="eastAsia" w:ascii="仿宋_GB2312" w:hAnsi="Times New Roman" w:eastAsia="仿宋_GB2312" w:cs="仿宋_GB2312"/>
          <w:sz w:val="32"/>
          <w:szCs w:val="32"/>
        </w:rPr>
        <w:t>号（30包）×2kg=60kg×30.00=1800.00元；</w:t>
      </w:r>
    </w:p>
    <w:p>
      <w:pPr>
        <w:rPr>
          <w:rFonts w:ascii="仿宋_GB2312" w:hAnsi="Times New Roman" w:eastAsia="仿宋_GB2312" w:cs="仿宋_GB2312"/>
          <w:sz w:val="32"/>
          <w:szCs w:val="32"/>
        </w:rPr>
      </w:pPr>
      <w:r>
        <w:rPr>
          <w:rFonts w:hint="eastAsia" w:ascii="仿宋_GB2312" w:hAnsi="Times New Roman" w:eastAsia="仿宋_GB2312" w:cs="仿宋_GB2312"/>
          <w:sz w:val="32"/>
          <w:szCs w:val="32"/>
        </w:rPr>
        <w:t xml:space="preserve">       秋硕玉</w:t>
      </w:r>
      <w:r>
        <w:rPr>
          <w:rFonts w:ascii="仿宋_GB2312" w:hAnsi="Times New Roman" w:eastAsia="仿宋_GB2312" w:cs="仿宋_GB2312"/>
          <w:sz w:val="32"/>
          <w:szCs w:val="32"/>
        </w:rPr>
        <w:t>6</w:t>
      </w:r>
      <w:r>
        <w:rPr>
          <w:rFonts w:hint="eastAsia" w:ascii="仿宋_GB2312" w:hAnsi="Times New Roman" w:eastAsia="仿宋_GB2312" w:cs="仿宋_GB2312"/>
          <w:sz w:val="32"/>
          <w:szCs w:val="32"/>
        </w:rPr>
        <w:t>号（200包）×50.00=10000.00元；</w:t>
      </w:r>
    </w:p>
    <w:p>
      <w:pPr>
        <w:ind w:firstLine="480" w:firstLineChars="150"/>
        <w:rPr>
          <w:rFonts w:ascii="仿宋_GB2312" w:hAnsi="Times New Roman" w:eastAsia="仿宋_GB2312" w:cs="仿宋_GB2312"/>
          <w:sz w:val="32"/>
          <w:szCs w:val="32"/>
        </w:rPr>
      </w:pPr>
      <w:r>
        <w:rPr>
          <w:rFonts w:hint="eastAsia" w:ascii="仿宋_GB2312" w:hAnsi="Times New Roman" w:eastAsia="仿宋_GB2312" w:cs="仿宋_GB2312"/>
          <w:sz w:val="32"/>
          <w:szCs w:val="32"/>
        </w:rPr>
        <w:t>（2）裸那：尚单</w:t>
      </w:r>
      <w:r>
        <w:rPr>
          <w:rFonts w:ascii="仿宋_GB2312" w:hAnsi="Times New Roman" w:eastAsia="仿宋_GB2312" w:cs="仿宋_GB2312"/>
          <w:sz w:val="32"/>
          <w:szCs w:val="32"/>
        </w:rPr>
        <w:t>2012</w:t>
      </w:r>
      <w:r>
        <w:rPr>
          <w:rFonts w:hint="eastAsia" w:ascii="仿宋_GB2312" w:hAnsi="Times New Roman" w:eastAsia="仿宋_GB2312" w:cs="仿宋_GB2312"/>
          <w:sz w:val="32"/>
          <w:szCs w:val="32"/>
        </w:rPr>
        <w:t>（200包）×45.00=9000.00元；</w:t>
      </w:r>
    </w:p>
    <w:p>
      <w:pPr>
        <w:ind w:firstLine="480" w:firstLineChars="150"/>
        <w:rPr>
          <w:rFonts w:ascii="仿宋_GB2312" w:hAnsi="Times New Roman" w:eastAsia="仿宋_GB2312" w:cs="仿宋_GB2312"/>
          <w:sz w:val="32"/>
          <w:szCs w:val="32"/>
        </w:rPr>
      </w:pPr>
      <w:r>
        <w:rPr>
          <w:rFonts w:hint="eastAsia" w:ascii="仿宋_GB2312" w:hAnsi="Times New Roman" w:eastAsia="仿宋_GB2312" w:cs="仿宋_GB2312"/>
          <w:sz w:val="32"/>
          <w:szCs w:val="32"/>
        </w:rPr>
        <w:t>（3）拉河柱：尚单</w:t>
      </w:r>
      <w:r>
        <w:rPr>
          <w:rFonts w:ascii="仿宋_GB2312" w:hAnsi="Times New Roman" w:eastAsia="仿宋_GB2312" w:cs="仿宋_GB2312"/>
          <w:sz w:val="32"/>
          <w:szCs w:val="32"/>
        </w:rPr>
        <w:t>2012</w:t>
      </w:r>
      <w:r>
        <w:rPr>
          <w:rFonts w:hint="eastAsia" w:ascii="仿宋_GB2312" w:hAnsi="Times New Roman" w:eastAsia="仿宋_GB2312" w:cs="仿宋_GB2312"/>
          <w:sz w:val="32"/>
          <w:szCs w:val="32"/>
        </w:rPr>
        <w:t>（200包）×45.00=9000.00元；</w:t>
      </w:r>
    </w:p>
    <w:p>
      <w:pPr>
        <w:ind w:firstLine="640" w:firstLineChars="200"/>
        <w:rPr>
          <w:rFonts w:ascii="仿宋_GB2312" w:hAnsi="Times New Roman" w:eastAsia="仿宋_GB2312" w:cs="仿宋_GB2312"/>
          <w:sz w:val="32"/>
          <w:szCs w:val="32"/>
        </w:rPr>
      </w:pPr>
      <w:r>
        <w:rPr>
          <w:rFonts w:hint="eastAsia" w:ascii="仿宋_GB2312" w:hAnsi="Times New Roman" w:eastAsia="仿宋_GB2312" w:cs="仿宋_GB2312"/>
          <w:sz w:val="32"/>
          <w:szCs w:val="32"/>
        </w:rPr>
        <w:t>以上3项合计</w:t>
      </w:r>
      <w:r>
        <w:rPr>
          <w:rFonts w:ascii="仿宋_GB2312" w:hAnsi="Times New Roman" w:eastAsia="仿宋_GB2312" w:cs="仿宋_GB2312"/>
          <w:sz w:val="32"/>
          <w:szCs w:val="32"/>
        </w:rPr>
        <w:t>3</w:t>
      </w:r>
      <w:r>
        <w:rPr>
          <w:rFonts w:hint="eastAsia" w:ascii="仿宋_GB2312" w:hAnsi="Times New Roman" w:eastAsia="仿宋_GB2312" w:cs="仿宋_GB2312"/>
          <w:sz w:val="32"/>
          <w:szCs w:val="32"/>
        </w:rPr>
        <w:t>7620.00元。附发放花名册。</w:t>
      </w:r>
    </w:p>
    <w:p>
      <w:pPr>
        <w:ind w:firstLine="640" w:firstLineChars="200"/>
        <w:rPr>
          <w:rFonts w:ascii="仿宋_GB2312" w:hAnsi="Times New Roman" w:eastAsia="仿宋_GB2312" w:cs="仿宋_GB2312"/>
          <w:sz w:val="32"/>
          <w:szCs w:val="32"/>
        </w:rPr>
      </w:pPr>
      <w:r>
        <w:rPr>
          <w:rFonts w:ascii="仿宋_GB2312" w:hAnsi="Times New Roman" w:eastAsia="仿宋_GB2312" w:cs="仿宋_GB2312"/>
          <w:sz w:val="32"/>
          <w:szCs w:val="32"/>
        </w:rPr>
        <w:t>3</w:t>
      </w:r>
      <w:r>
        <w:rPr>
          <w:rFonts w:hint="eastAsia" w:ascii="仿宋_GB2312" w:hAnsi="Times New Roman" w:eastAsia="仿宋_GB2312" w:cs="仿宋_GB2312"/>
          <w:sz w:val="32"/>
          <w:szCs w:val="32"/>
        </w:rPr>
        <w:t>、农药</w:t>
      </w:r>
      <w:r>
        <w:rPr>
          <w:rFonts w:ascii="仿宋_GB2312" w:hAnsi="Times New Roman" w:eastAsia="仿宋_GB2312" w:cs="仿宋_GB2312"/>
          <w:sz w:val="32"/>
          <w:szCs w:val="32"/>
        </w:rPr>
        <w:t>8000</w:t>
      </w:r>
      <w:r>
        <w:rPr>
          <w:rFonts w:hint="eastAsia" w:ascii="仿宋_GB2312" w:hAnsi="Times New Roman" w:eastAsia="仿宋_GB2312" w:cs="仿宋_GB2312"/>
          <w:sz w:val="32"/>
          <w:szCs w:val="32"/>
        </w:rPr>
        <w:t>元。附发放花名册</w:t>
      </w:r>
    </w:p>
    <w:p>
      <w:pPr>
        <w:ind w:firstLine="640" w:firstLineChars="200"/>
        <w:rPr>
          <w:rFonts w:ascii="仿宋_GB2312" w:hAnsi="Times New Roman" w:eastAsia="仿宋_GB2312" w:cs="仿宋_GB2312"/>
          <w:sz w:val="32"/>
          <w:szCs w:val="32"/>
        </w:rPr>
      </w:pPr>
      <w:r>
        <w:rPr>
          <w:rFonts w:ascii="仿宋_GB2312" w:hAnsi="Times New Roman" w:eastAsia="仿宋_GB2312" w:cs="仿宋_GB2312"/>
          <w:sz w:val="32"/>
          <w:szCs w:val="32"/>
        </w:rPr>
        <w:t>4</w:t>
      </w:r>
      <w:r>
        <w:rPr>
          <w:rFonts w:hint="eastAsia" w:ascii="仿宋_GB2312" w:hAnsi="Times New Roman" w:eastAsia="仿宋_GB2312" w:cs="仿宋_GB2312"/>
          <w:sz w:val="32"/>
          <w:szCs w:val="32"/>
        </w:rPr>
        <w:t>、培训费</w:t>
      </w:r>
      <w:r>
        <w:rPr>
          <w:rFonts w:ascii="仿宋_GB2312" w:hAnsi="Times New Roman" w:eastAsia="仿宋_GB2312" w:cs="仿宋_GB2312"/>
          <w:sz w:val="32"/>
          <w:szCs w:val="32"/>
        </w:rPr>
        <w:t>36000.00</w:t>
      </w:r>
      <w:r>
        <w:rPr>
          <w:rFonts w:hint="eastAsia" w:ascii="仿宋_GB2312" w:hAnsi="Times New Roman" w:eastAsia="仿宋_GB2312" w:cs="仿宋_GB2312"/>
          <w:sz w:val="32"/>
          <w:szCs w:val="32"/>
        </w:rPr>
        <w:t>元。</w:t>
      </w:r>
    </w:p>
    <w:p>
      <w:pPr>
        <w:ind w:firstLine="640" w:firstLineChars="200"/>
        <w:rPr>
          <w:rFonts w:ascii="仿宋_GB2312" w:hAnsi="Times New Roman" w:eastAsia="仿宋_GB2312" w:cs="仿宋_GB2312"/>
          <w:sz w:val="32"/>
          <w:szCs w:val="32"/>
        </w:rPr>
      </w:pPr>
      <w:r>
        <w:rPr>
          <w:rFonts w:ascii="仿宋_GB2312" w:hAnsi="Times New Roman" w:eastAsia="仿宋_GB2312" w:cs="仿宋_GB2312"/>
          <w:sz w:val="32"/>
          <w:szCs w:val="32"/>
        </w:rPr>
        <w:t>5</w:t>
      </w:r>
      <w:r>
        <w:rPr>
          <w:rFonts w:hint="eastAsia" w:ascii="仿宋_GB2312" w:hAnsi="Times New Roman" w:eastAsia="仿宋_GB2312" w:cs="仿宋_GB2312"/>
          <w:sz w:val="32"/>
          <w:szCs w:val="32"/>
        </w:rPr>
        <w:t>、差旅费38380</w:t>
      </w:r>
      <w:r>
        <w:rPr>
          <w:rFonts w:ascii="仿宋_GB2312" w:hAnsi="Times New Roman" w:eastAsia="仿宋_GB2312" w:cs="仿宋_GB2312"/>
          <w:sz w:val="32"/>
          <w:szCs w:val="32"/>
        </w:rPr>
        <w:t>.00</w:t>
      </w:r>
      <w:r>
        <w:rPr>
          <w:rFonts w:hint="eastAsia" w:ascii="仿宋_GB2312" w:hAnsi="Times New Roman" w:eastAsia="仿宋_GB2312" w:cs="仿宋_GB2312"/>
          <w:sz w:val="32"/>
          <w:szCs w:val="32"/>
        </w:rPr>
        <w:t>元。</w:t>
      </w:r>
    </w:p>
    <w:p>
      <w:pPr>
        <w:ind w:firstLine="640" w:firstLineChars="200"/>
        <w:rPr>
          <w:rFonts w:ascii="仿宋_GB2312" w:hAnsi="Times New Roman" w:eastAsia="仿宋_GB2312" w:cs="仿宋_GB2312"/>
          <w:sz w:val="32"/>
          <w:szCs w:val="32"/>
        </w:rPr>
      </w:pPr>
      <w:r>
        <w:rPr>
          <w:rFonts w:ascii="仿宋_GB2312" w:hAnsi="Times New Roman" w:eastAsia="仿宋_GB2312" w:cs="仿宋_GB2312"/>
          <w:sz w:val="32"/>
          <w:szCs w:val="32"/>
        </w:rPr>
        <w:t>6</w:t>
      </w:r>
      <w:r>
        <w:rPr>
          <w:rFonts w:hint="eastAsia" w:ascii="仿宋_GB2312" w:hAnsi="Times New Roman" w:eastAsia="仿宋_GB2312" w:cs="仿宋_GB2312"/>
          <w:sz w:val="32"/>
          <w:szCs w:val="32"/>
        </w:rPr>
        <w:t>、劳务费</w:t>
      </w:r>
      <w:r>
        <w:rPr>
          <w:rFonts w:ascii="仿宋_GB2312" w:hAnsi="Times New Roman" w:eastAsia="仿宋_GB2312" w:cs="仿宋_GB2312"/>
          <w:sz w:val="32"/>
          <w:szCs w:val="32"/>
        </w:rPr>
        <w:t>20000.00</w:t>
      </w:r>
      <w:r>
        <w:rPr>
          <w:rFonts w:hint="eastAsia" w:ascii="仿宋_GB2312" w:hAnsi="Times New Roman" w:eastAsia="仿宋_GB2312" w:cs="仿宋_GB2312"/>
          <w:sz w:val="32"/>
          <w:szCs w:val="32"/>
        </w:rPr>
        <w:t>元。</w:t>
      </w:r>
    </w:p>
    <w:p>
      <w:pPr>
        <w:ind w:firstLine="640" w:firstLineChars="200"/>
        <w:rPr>
          <w:rFonts w:ascii="仿宋_GB2312" w:hAnsi="Times New Roman" w:eastAsia="仿宋_GB2312" w:cs="仿宋_GB2312"/>
          <w:sz w:val="32"/>
          <w:szCs w:val="32"/>
        </w:rPr>
      </w:pPr>
      <w:r>
        <w:rPr>
          <w:rFonts w:hint="eastAsia" w:ascii="仿宋_GB2312" w:hAnsi="Times New Roman" w:eastAsia="仿宋_GB2312" w:cs="仿宋_GB2312"/>
          <w:sz w:val="32"/>
          <w:szCs w:val="32"/>
        </w:rPr>
        <w:t>7、印刷费</w:t>
      </w:r>
      <w:r>
        <w:rPr>
          <w:rFonts w:ascii="仿宋_GB2312" w:hAnsi="Times New Roman" w:eastAsia="仿宋_GB2312" w:cs="仿宋_GB2312"/>
          <w:sz w:val="32"/>
          <w:szCs w:val="32"/>
        </w:rPr>
        <w:t>15000.00</w:t>
      </w:r>
      <w:r>
        <w:rPr>
          <w:rFonts w:hint="eastAsia" w:ascii="仿宋_GB2312" w:hAnsi="Times New Roman" w:eastAsia="仿宋_GB2312" w:cs="仿宋_GB2312"/>
          <w:sz w:val="32"/>
          <w:szCs w:val="32"/>
        </w:rPr>
        <w:t>元。</w:t>
      </w:r>
    </w:p>
    <w:p>
      <w:pPr>
        <w:ind w:firstLine="640" w:firstLineChars="200"/>
        <w:rPr>
          <w:rFonts w:ascii="仿宋_GB2312" w:hAnsi="Times New Roman" w:eastAsia="仿宋_GB2312" w:cs="仿宋_GB2312"/>
          <w:sz w:val="32"/>
          <w:szCs w:val="32"/>
        </w:rPr>
      </w:pPr>
      <w:r>
        <w:rPr>
          <w:rFonts w:hint="eastAsia" w:ascii="仿宋_GB2312" w:hAnsi="Times New Roman" w:eastAsia="仿宋_GB2312" w:cs="仿宋_GB2312"/>
          <w:sz w:val="32"/>
          <w:szCs w:val="32"/>
        </w:rPr>
        <w:t>8、验收费：</w:t>
      </w:r>
      <w:r>
        <w:rPr>
          <w:rFonts w:ascii="仿宋_GB2312" w:hAnsi="Times New Roman" w:eastAsia="仿宋_GB2312" w:cs="仿宋_GB2312"/>
          <w:sz w:val="32"/>
          <w:szCs w:val="32"/>
        </w:rPr>
        <w:t>5000</w:t>
      </w:r>
      <w:r>
        <w:rPr>
          <w:rFonts w:hint="eastAsia" w:ascii="仿宋_GB2312" w:hAnsi="Times New Roman" w:eastAsia="仿宋_GB2312" w:cs="仿宋_GB2312"/>
          <w:sz w:val="32"/>
          <w:szCs w:val="32"/>
        </w:rPr>
        <w:t>元</w:t>
      </w:r>
    </w:p>
    <w:p>
      <w:pPr>
        <w:ind w:firstLine="640" w:firstLineChars="200"/>
        <w:rPr>
          <w:rFonts w:ascii="仿宋_GB2312" w:hAnsi="Times New Roman" w:eastAsia="仿宋_GB2312" w:cs="仿宋_GB2312"/>
          <w:sz w:val="32"/>
          <w:szCs w:val="32"/>
        </w:rPr>
      </w:pPr>
      <w:r>
        <w:rPr>
          <w:rFonts w:hint="eastAsia" w:ascii="仿宋_GB2312" w:hAnsi="Times New Roman" w:eastAsia="仿宋_GB2312" w:cs="仿宋_GB2312"/>
          <w:sz w:val="32"/>
          <w:szCs w:val="32"/>
        </w:rPr>
        <w:t>合计：</w:t>
      </w:r>
      <w:r>
        <w:rPr>
          <w:rFonts w:ascii="仿宋_GB2312" w:hAnsi="Times New Roman" w:eastAsia="仿宋_GB2312" w:cs="仿宋_GB2312"/>
          <w:sz w:val="32"/>
          <w:szCs w:val="32"/>
        </w:rPr>
        <w:t>200000</w:t>
      </w:r>
      <w:r>
        <w:rPr>
          <w:rFonts w:hint="eastAsia" w:ascii="仿宋_GB2312" w:hAnsi="Times New Roman" w:eastAsia="仿宋_GB2312" w:cs="仿宋_GB2312"/>
          <w:sz w:val="32"/>
          <w:szCs w:val="32"/>
        </w:rPr>
        <w:t>元</w:t>
      </w:r>
    </w:p>
    <w:p>
      <w:pPr>
        <w:ind w:firstLine="480" w:firstLineChars="150"/>
        <w:rPr>
          <w:rFonts w:ascii="仿宋_GB2312" w:hAnsi="Times New Roman" w:eastAsia="仿宋_GB2312" w:cs="仿宋_GB2312"/>
          <w:sz w:val="32"/>
          <w:szCs w:val="32"/>
        </w:rPr>
      </w:pPr>
      <w:r>
        <w:rPr>
          <w:rFonts w:hint="eastAsia" w:ascii="仿宋_GB2312" w:hAnsi="Times New Roman" w:eastAsia="仿宋_GB2312" w:cs="仿宋_GB2312"/>
          <w:sz w:val="32"/>
          <w:szCs w:val="32"/>
        </w:rPr>
        <w:t>以上各项共安排经费</w:t>
      </w:r>
      <w:r>
        <w:rPr>
          <w:rFonts w:ascii="仿宋_GB2312" w:hAnsi="Times New Roman" w:eastAsia="仿宋_GB2312" w:cs="仿宋_GB2312"/>
          <w:sz w:val="32"/>
          <w:szCs w:val="32"/>
        </w:rPr>
        <w:t>200000</w:t>
      </w:r>
      <w:r>
        <w:rPr>
          <w:rFonts w:hint="eastAsia" w:ascii="仿宋_GB2312" w:hAnsi="Times New Roman" w:eastAsia="仿宋_GB2312" w:cs="仿宋_GB2312"/>
          <w:sz w:val="32"/>
          <w:szCs w:val="32"/>
        </w:rPr>
        <w:t>元，资金从迪庆州农牧局下达的省级玉米绿色高产高效创建项目经费中列支。</w:t>
      </w:r>
    </w:p>
    <w:p>
      <w:pPr>
        <w:ind w:left="643"/>
        <w:rPr>
          <w:rFonts w:ascii="仿宋_GB2312" w:hAnsi="Times New Roman" w:eastAsia="仿宋_GB2312" w:cs="仿宋_GB2312"/>
          <w:b/>
          <w:sz w:val="32"/>
          <w:szCs w:val="32"/>
        </w:rPr>
      </w:pPr>
      <w:r>
        <w:rPr>
          <w:rFonts w:hint="eastAsia" w:ascii="仿宋_GB2312" w:eastAsia="仿宋_GB2312"/>
          <w:b/>
          <w:sz w:val="32"/>
          <w:szCs w:val="32"/>
        </w:rPr>
        <w:t>（三）</w:t>
      </w:r>
      <w:r>
        <w:fldChar w:fldCharType="begin"/>
      </w:r>
      <w:r>
        <w:instrText xml:space="preserve"> HYPERLINK \l "_Toc434746190" </w:instrText>
      </w:r>
      <w:r>
        <w:fldChar w:fldCharType="separate"/>
      </w:r>
      <w:r>
        <w:rPr>
          <w:rFonts w:hint="eastAsia" w:ascii="仿宋_GB2312" w:hAnsi="Times New Roman" w:eastAsia="仿宋_GB2312"/>
          <w:b/>
          <w:sz w:val="32"/>
          <w:szCs w:val="32"/>
        </w:rPr>
        <w:t>部门预算管理制度建设情况</w:t>
      </w:r>
      <w:r>
        <w:rPr>
          <w:rFonts w:hint="eastAsia" w:ascii="仿宋_GB2312" w:hAnsi="Times New Roman" w:eastAsia="仿宋_GB2312"/>
          <w:b/>
          <w:sz w:val="32"/>
          <w:szCs w:val="32"/>
        </w:rPr>
        <w:fldChar w:fldCharType="end"/>
      </w:r>
    </w:p>
    <w:p>
      <w:pPr>
        <w:rPr>
          <w:rFonts w:ascii="仿宋_GB2312" w:hAnsi="Times New Roman" w:eastAsia="仿宋_GB2312" w:cs="仿宋_GB2312"/>
          <w:sz w:val="32"/>
          <w:szCs w:val="32"/>
        </w:rPr>
      </w:pPr>
      <w:r>
        <w:rPr>
          <w:rFonts w:hint="eastAsia" w:ascii="仿宋_GB2312" w:hAnsi="Times New Roman" w:eastAsia="仿宋_GB2312" w:cs="仿宋_GB2312"/>
          <w:b/>
          <w:sz w:val="32"/>
          <w:szCs w:val="32"/>
        </w:rPr>
        <w:t xml:space="preserve">    </w:t>
      </w:r>
      <w:r>
        <w:rPr>
          <w:rFonts w:hint="eastAsia" w:ascii="仿宋_GB2312" w:hAnsi="Times New Roman" w:eastAsia="仿宋_GB2312" w:cs="仿宋_GB2312"/>
          <w:sz w:val="32"/>
          <w:szCs w:val="32"/>
        </w:rPr>
        <w:t>规范资金使用与管理。在资金使用与管理上，严格按照农业部和省财政有关项目专项资金管理办法的要求，加强资金管理，按照项目预算使用资金，实行专账支付，把有限的资金用在项目建设上。</w:t>
      </w:r>
    </w:p>
    <w:p>
      <w:pPr>
        <w:pStyle w:val="7"/>
        <w:ind w:firstLine="643"/>
        <w:rPr>
          <w:rFonts w:ascii="仿宋_GB2312" w:hAnsi="Times New Roman" w:eastAsia="仿宋_GB2312" w:cs="Times New Roman"/>
          <w:b/>
          <w:sz w:val="32"/>
          <w:szCs w:val="32"/>
        </w:rPr>
      </w:pPr>
      <w:r>
        <w:rPr>
          <w:rFonts w:hint="eastAsia" w:ascii="仿宋_GB2312" w:hAnsi="黑体" w:eastAsia="仿宋_GB2312" w:cs="黑体"/>
          <w:b/>
          <w:sz w:val="32"/>
          <w:szCs w:val="32"/>
        </w:rPr>
        <w:t>二、绩效自评工作情况</w:t>
      </w:r>
    </w:p>
    <w:p>
      <w:pPr>
        <w:ind w:firstLine="643" w:firstLineChars="200"/>
        <w:rPr>
          <w:rFonts w:ascii="仿宋_GB2312" w:hAnsi="Times New Roman" w:eastAsia="仿宋_GB2312" w:cs="仿宋_GB2312"/>
          <w:b/>
          <w:sz w:val="32"/>
          <w:szCs w:val="32"/>
        </w:rPr>
      </w:pPr>
      <w:r>
        <w:rPr>
          <w:rFonts w:hint="eastAsia" w:ascii="仿宋_GB2312" w:hAnsi="Times New Roman" w:eastAsia="仿宋_GB2312" w:cs="仿宋_GB2312"/>
          <w:b/>
          <w:sz w:val="32"/>
          <w:szCs w:val="32"/>
        </w:rPr>
        <w:t>（一）绩效自评目的</w:t>
      </w:r>
    </w:p>
    <w:p>
      <w:pPr>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绩效自评是在一定期间内科学、动态地衡量项目工作进度和效果的考核方式，通过制定有效、客观的考核标准，对项目进行评定，以进一步规范项目管理，项目效率；绩效自评使各级管理者明确了解项目实施进度，通过对项目实施过程中考核期内的业绩等的评估，充分了解项目实施情况。</w:t>
      </w:r>
    </w:p>
    <w:p>
      <w:pPr>
        <w:ind w:firstLine="643" w:firstLineChars="200"/>
        <w:rPr>
          <w:rFonts w:ascii="仿宋_GB2312" w:hAnsi="Times New Roman" w:eastAsia="仿宋_GB2312" w:cs="仿宋_GB2312"/>
          <w:b/>
          <w:sz w:val="32"/>
          <w:szCs w:val="32"/>
        </w:rPr>
      </w:pPr>
      <w:r>
        <w:rPr>
          <w:rFonts w:hint="eastAsia" w:ascii="仿宋_GB2312" w:hAnsi="Times New Roman" w:eastAsia="仿宋_GB2312" w:cs="仿宋_GB2312"/>
          <w:b/>
          <w:sz w:val="32"/>
          <w:szCs w:val="32"/>
        </w:rPr>
        <w:t>（二）自评指标体系</w:t>
      </w:r>
    </w:p>
    <w:p>
      <w:pPr>
        <w:ind w:firstLine="640" w:firstLineChars="200"/>
        <w:jc w:val="center"/>
        <w:rPr>
          <w:rFonts w:ascii="仿宋_GB2312" w:eastAsia="仿宋_GB2312" w:cs="Times New Roman"/>
          <w:sz w:val="32"/>
          <w:szCs w:val="32"/>
        </w:rPr>
      </w:pPr>
      <w:r>
        <w:rPr>
          <w:rFonts w:hint="eastAsia" w:ascii="仿宋_GB2312" w:eastAsia="仿宋_GB2312" w:cs="Times New Roman"/>
          <w:sz w:val="32"/>
          <w:szCs w:val="32"/>
        </w:rPr>
        <w:t>项目绩效目标表</w:t>
      </w:r>
    </w:p>
    <w:tbl>
      <w:tblPr>
        <w:tblStyle w:val="6"/>
        <w:tblW w:w="10632" w:type="dxa"/>
        <w:tblInd w:w="-1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1276"/>
        <w:gridCol w:w="1069"/>
        <w:gridCol w:w="1199"/>
        <w:gridCol w:w="1134"/>
        <w:gridCol w:w="1134"/>
        <w:gridCol w:w="85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5" w:type="dxa"/>
            <w:vMerge w:val="restart"/>
            <w:tcBorders>
              <w:top w:val="single" w:color="auto" w:sz="4" w:space="0"/>
              <w:left w:val="single" w:color="auto" w:sz="4" w:space="0"/>
              <w:bottom w:val="single" w:color="auto" w:sz="4" w:space="0"/>
              <w:right w:val="single" w:color="auto" w:sz="4" w:space="0"/>
            </w:tcBorders>
          </w:tcPr>
          <w:p>
            <w:pPr>
              <w:jc w:val="center"/>
              <w:rPr>
                <w:rFonts w:ascii="仿宋_GB2312" w:eastAsia="仿宋_GB2312" w:cs="Times New Roman"/>
                <w:sz w:val="18"/>
                <w:szCs w:val="18"/>
              </w:rPr>
            </w:pPr>
            <w:r>
              <w:rPr>
                <w:rFonts w:hint="eastAsia" w:ascii="仿宋_GB2312" w:eastAsia="仿宋_GB2312" w:cs="Times New Roman"/>
                <w:sz w:val="18"/>
                <w:szCs w:val="18"/>
              </w:rPr>
              <w:t>项目绩效指标</w:t>
            </w:r>
          </w:p>
        </w:tc>
        <w:tc>
          <w:tcPr>
            <w:tcW w:w="1276" w:type="dxa"/>
            <w:vMerge w:val="restart"/>
            <w:tcBorders>
              <w:top w:val="single" w:color="auto" w:sz="4" w:space="0"/>
              <w:left w:val="single" w:color="auto" w:sz="4" w:space="0"/>
              <w:bottom w:val="single" w:color="auto" w:sz="4" w:space="0"/>
              <w:right w:val="single" w:color="auto" w:sz="4" w:space="0"/>
            </w:tcBorders>
          </w:tcPr>
          <w:p>
            <w:pPr>
              <w:jc w:val="center"/>
              <w:rPr>
                <w:rFonts w:ascii="仿宋_GB2312" w:eastAsia="仿宋_GB2312" w:cs="Times New Roman"/>
                <w:sz w:val="18"/>
                <w:szCs w:val="18"/>
              </w:rPr>
            </w:pPr>
            <w:r>
              <w:rPr>
                <w:rFonts w:hint="eastAsia" w:ascii="仿宋_GB2312" w:eastAsia="仿宋_GB2312" w:cs="Times New Roman"/>
                <w:sz w:val="18"/>
                <w:szCs w:val="18"/>
              </w:rPr>
              <w:t>绩效类型</w:t>
            </w:r>
          </w:p>
        </w:tc>
        <w:tc>
          <w:tcPr>
            <w:tcW w:w="4536" w:type="dxa"/>
            <w:gridSpan w:val="4"/>
            <w:tcBorders>
              <w:top w:val="single" w:color="auto" w:sz="4" w:space="0"/>
              <w:left w:val="single" w:color="auto" w:sz="4" w:space="0"/>
              <w:bottom w:val="single" w:color="auto" w:sz="4" w:space="0"/>
              <w:right w:val="single" w:color="auto" w:sz="4" w:space="0"/>
            </w:tcBorders>
          </w:tcPr>
          <w:p>
            <w:pPr>
              <w:jc w:val="center"/>
              <w:rPr>
                <w:rFonts w:ascii="仿宋_GB2312" w:eastAsia="仿宋_GB2312" w:cs="Times New Roman"/>
                <w:sz w:val="18"/>
                <w:szCs w:val="18"/>
              </w:rPr>
            </w:pPr>
            <w:r>
              <w:rPr>
                <w:rFonts w:hint="eastAsia" w:ascii="仿宋_GB2312" w:eastAsia="仿宋_GB2312" w:cs="Times New Roman"/>
                <w:sz w:val="18"/>
                <w:szCs w:val="18"/>
              </w:rPr>
              <w:t>绩效标准</w:t>
            </w:r>
          </w:p>
        </w:tc>
        <w:tc>
          <w:tcPr>
            <w:tcW w:w="851" w:type="dxa"/>
            <w:vMerge w:val="restart"/>
            <w:tcBorders>
              <w:top w:val="single" w:color="auto" w:sz="4" w:space="0"/>
              <w:left w:val="single" w:color="auto" w:sz="4" w:space="0"/>
              <w:bottom w:val="single" w:color="auto" w:sz="4" w:space="0"/>
              <w:right w:val="single" w:color="auto" w:sz="4" w:space="0"/>
            </w:tcBorders>
          </w:tcPr>
          <w:p>
            <w:pPr>
              <w:jc w:val="center"/>
              <w:rPr>
                <w:rFonts w:ascii="仿宋_GB2312" w:eastAsia="仿宋_GB2312" w:cs="Times New Roman"/>
                <w:sz w:val="18"/>
                <w:szCs w:val="18"/>
              </w:rPr>
            </w:pPr>
            <w:r>
              <w:rPr>
                <w:rFonts w:hint="eastAsia" w:ascii="仿宋_GB2312" w:eastAsia="仿宋_GB2312" w:cs="Times New Roman"/>
                <w:sz w:val="18"/>
                <w:szCs w:val="18"/>
              </w:rPr>
              <w:t>项目绩效目标预计完成情况</w:t>
            </w:r>
          </w:p>
        </w:tc>
        <w:tc>
          <w:tcPr>
            <w:tcW w:w="1134" w:type="dxa"/>
            <w:vMerge w:val="restart"/>
            <w:tcBorders>
              <w:top w:val="single" w:color="auto" w:sz="4" w:space="0"/>
              <w:left w:val="single" w:color="auto" w:sz="4" w:space="0"/>
              <w:bottom w:val="single" w:color="auto" w:sz="4" w:space="0"/>
              <w:right w:val="single" w:color="auto" w:sz="4" w:space="0"/>
            </w:tcBorders>
          </w:tcPr>
          <w:p>
            <w:pPr>
              <w:jc w:val="center"/>
              <w:rPr>
                <w:rFonts w:ascii="仿宋_GB2312" w:eastAsia="仿宋_GB2312" w:cs="Times New Roman"/>
                <w:sz w:val="18"/>
                <w:szCs w:val="18"/>
              </w:rPr>
            </w:pPr>
            <w:r>
              <w:rPr>
                <w:rFonts w:hint="eastAsia" w:ascii="仿宋_GB2312" w:eastAsia="仿宋_GB2312" w:cs="Times New Roman"/>
                <w:sz w:val="18"/>
                <w:szCs w:val="1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s="Times New Roman"/>
                <w:sz w:val="18"/>
                <w:szCs w:val="18"/>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s="Times New Roman"/>
                <w:sz w:val="18"/>
                <w:szCs w:val="18"/>
              </w:rPr>
            </w:pPr>
          </w:p>
        </w:tc>
        <w:tc>
          <w:tcPr>
            <w:tcW w:w="1069" w:type="dxa"/>
            <w:tcBorders>
              <w:top w:val="single" w:color="auto" w:sz="4" w:space="0"/>
              <w:left w:val="single" w:color="auto" w:sz="4" w:space="0"/>
              <w:bottom w:val="single" w:color="auto" w:sz="4" w:space="0"/>
              <w:right w:val="single" w:color="auto" w:sz="4" w:space="0"/>
            </w:tcBorders>
          </w:tcPr>
          <w:p>
            <w:pPr>
              <w:jc w:val="center"/>
              <w:rPr>
                <w:rFonts w:ascii="仿宋_GB2312" w:eastAsia="仿宋_GB2312" w:cs="Times New Roman"/>
                <w:sz w:val="18"/>
                <w:szCs w:val="18"/>
              </w:rPr>
            </w:pPr>
            <w:r>
              <w:rPr>
                <w:rFonts w:hint="eastAsia" w:ascii="仿宋_GB2312" w:eastAsia="仿宋_GB2312" w:cs="Times New Roman"/>
                <w:sz w:val="18"/>
                <w:szCs w:val="18"/>
              </w:rPr>
              <w:t>优</w:t>
            </w:r>
          </w:p>
        </w:tc>
        <w:tc>
          <w:tcPr>
            <w:tcW w:w="1199" w:type="dxa"/>
            <w:tcBorders>
              <w:top w:val="single" w:color="auto" w:sz="4" w:space="0"/>
              <w:left w:val="single" w:color="auto" w:sz="4" w:space="0"/>
              <w:bottom w:val="single" w:color="auto" w:sz="4" w:space="0"/>
              <w:right w:val="single" w:color="auto" w:sz="4" w:space="0"/>
            </w:tcBorders>
          </w:tcPr>
          <w:p>
            <w:pPr>
              <w:jc w:val="center"/>
              <w:rPr>
                <w:rFonts w:ascii="仿宋_GB2312" w:eastAsia="仿宋_GB2312" w:cs="Times New Roman"/>
                <w:sz w:val="18"/>
                <w:szCs w:val="18"/>
              </w:rPr>
            </w:pPr>
            <w:r>
              <w:rPr>
                <w:rFonts w:hint="eastAsia" w:ascii="仿宋_GB2312" w:eastAsia="仿宋_GB2312" w:cs="Times New Roman"/>
                <w:sz w:val="18"/>
                <w:szCs w:val="18"/>
              </w:rPr>
              <w:t>良</w:t>
            </w:r>
          </w:p>
        </w:tc>
        <w:tc>
          <w:tcPr>
            <w:tcW w:w="1134" w:type="dxa"/>
            <w:tcBorders>
              <w:top w:val="single" w:color="auto" w:sz="4" w:space="0"/>
              <w:left w:val="single" w:color="auto" w:sz="4" w:space="0"/>
              <w:bottom w:val="single" w:color="auto" w:sz="4" w:space="0"/>
              <w:right w:val="single" w:color="auto" w:sz="4" w:space="0"/>
            </w:tcBorders>
          </w:tcPr>
          <w:p>
            <w:pPr>
              <w:jc w:val="center"/>
              <w:rPr>
                <w:rFonts w:ascii="仿宋_GB2312" w:eastAsia="仿宋_GB2312" w:cs="Times New Roman"/>
                <w:sz w:val="18"/>
                <w:szCs w:val="18"/>
              </w:rPr>
            </w:pPr>
            <w:r>
              <w:rPr>
                <w:rFonts w:hint="eastAsia" w:ascii="仿宋_GB2312" w:eastAsia="仿宋_GB2312" w:cs="Times New Roman"/>
                <w:sz w:val="18"/>
                <w:szCs w:val="18"/>
              </w:rPr>
              <w:t>中</w:t>
            </w:r>
          </w:p>
        </w:tc>
        <w:tc>
          <w:tcPr>
            <w:tcW w:w="1134" w:type="dxa"/>
            <w:tcBorders>
              <w:top w:val="single" w:color="auto" w:sz="4" w:space="0"/>
              <w:left w:val="single" w:color="auto" w:sz="4" w:space="0"/>
              <w:bottom w:val="single" w:color="auto" w:sz="4" w:space="0"/>
              <w:right w:val="single" w:color="auto" w:sz="4" w:space="0"/>
            </w:tcBorders>
          </w:tcPr>
          <w:p>
            <w:pPr>
              <w:jc w:val="center"/>
              <w:rPr>
                <w:rFonts w:ascii="仿宋_GB2312" w:eastAsia="仿宋_GB2312" w:cs="Times New Roman"/>
                <w:sz w:val="18"/>
                <w:szCs w:val="18"/>
              </w:rPr>
            </w:pPr>
            <w:r>
              <w:rPr>
                <w:rFonts w:hint="eastAsia" w:ascii="仿宋_GB2312" w:eastAsia="仿宋_GB2312" w:cs="Times New Roman"/>
                <w:sz w:val="18"/>
                <w:szCs w:val="18"/>
              </w:rPr>
              <w:t>差</w:t>
            </w:r>
          </w:p>
        </w:tc>
        <w:tc>
          <w:tcPr>
            <w:tcW w:w="85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s="Times New Roman"/>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s="宋体"/>
                <w:color w:val="000000"/>
                <w:sz w:val="20"/>
                <w:szCs w:val="20"/>
              </w:rPr>
            </w:pPr>
            <w:r>
              <w:rPr>
                <w:rFonts w:hint="eastAsia" w:ascii="仿宋" w:hAnsi="仿宋" w:eastAsia="仿宋" w:cs="Times New Roman"/>
                <w:color w:val="000000"/>
                <w:sz w:val="20"/>
                <w:szCs w:val="20"/>
              </w:rPr>
              <w:t>玉米绿色高产高效核心区完成面积(亩)</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产出指标</w:t>
            </w:r>
          </w:p>
        </w:tc>
        <w:tc>
          <w:tcPr>
            <w:tcW w:w="106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150以上</w:t>
            </w:r>
          </w:p>
        </w:tc>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120-150</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100-120</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100以下</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优</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总结资料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vAlign w:val="center"/>
          </w:tcPr>
          <w:p>
            <w:pPr>
              <w:rPr>
                <w:rFonts w:hint="eastAsia" w:ascii="仿宋" w:hAnsi="仿宋" w:eastAsia="仿宋" w:cs="Times New Roman"/>
                <w:color w:val="000000"/>
                <w:sz w:val="20"/>
                <w:szCs w:val="20"/>
              </w:rPr>
            </w:pPr>
            <w:r>
              <w:rPr>
                <w:rFonts w:hint="eastAsia" w:ascii="仿宋" w:hAnsi="仿宋" w:eastAsia="仿宋" w:cs="Times New Roman"/>
                <w:color w:val="000000"/>
                <w:sz w:val="20"/>
                <w:szCs w:val="20"/>
              </w:rPr>
              <w:t>玉米绿色高产高效展示区完成面积(亩)</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Times New Roman"/>
                <w:color w:val="000000"/>
                <w:sz w:val="20"/>
                <w:szCs w:val="20"/>
              </w:rPr>
            </w:pPr>
            <w:r>
              <w:rPr>
                <w:rFonts w:hint="eastAsia" w:ascii="仿宋" w:hAnsi="仿宋" w:eastAsia="仿宋" w:cs="Times New Roman"/>
                <w:color w:val="000000"/>
                <w:sz w:val="20"/>
                <w:szCs w:val="20"/>
              </w:rPr>
              <w:t>产出指标</w:t>
            </w:r>
          </w:p>
        </w:tc>
        <w:tc>
          <w:tcPr>
            <w:tcW w:w="106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500以上</w:t>
            </w:r>
          </w:p>
        </w:tc>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480-500</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460-480</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450以下</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优</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总结资料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vAlign w:val="center"/>
          </w:tcPr>
          <w:p>
            <w:pPr>
              <w:rPr>
                <w:rFonts w:hint="eastAsia" w:ascii="仿宋" w:hAnsi="仿宋" w:eastAsia="仿宋" w:cs="Times New Roman"/>
                <w:color w:val="000000"/>
                <w:sz w:val="20"/>
                <w:szCs w:val="20"/>
              </w:rPr>
            </w:pPr>
            <w:r>
              <w:rPr>
                <w:rFonts w:hint="eastAsia" w:ascii="仿宋" w:hAnsi="仿宋" w:eastAsia="仿宋" w:cs="Times New Roman"/>
                <w:color w:val="000000"/>
                <w:sz w:val="20"/>
                <w:szCs w:val="20"/>
              </w:rPr>
              <w:t>玉米绿色高产高效辐射区完成面积(万亩)</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Times New Roman"/>
                <w:color w:val="000000"/>
                <w:sz w:val="20"/>
                <w:szCs w:val="20"/>
              </w:rPr>
            </w:pPr>
            <w:r>
              <w:rPr>
                <w:rFonts w:hint="eastAsia" w:ascii="仿宋" w:hAnsi="仿宋" w:eastAsia="仿宋" w:cs="Times New Roman"/>
                <w:color w:val="000000"/>
                <w:sz w:val="20"/>
                <w:szCs w:val="20"/>
              </w:rPr>
              <w:t>产出指标</w:t>
            </w:r>
          </w:p>
        </w:tc>
        <w:tc>
          <w:tcPr>
            <w:tcW w:w="106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1以上</w:t>
            </w:r>
          </w:p>
        </w:tc>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0.95-1</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0.9-0.95</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0.9以下</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优</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总结资料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技术培训覆盖率</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产出指标</w:t>
            </w:r>
          </w:p>
        </w:tc>
        <w:tc>
          <w:tcPr>
            <w:tcW w:w="106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95%以上</w:t>
            </w:r>
          </w:p>
        </w:tc>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90-95%</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85-90%</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85%以下</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优</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总结资料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项目完成及时率</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产出指标</w:t>
            </w:r>
          </w:p>
        </w:tc>
        <w:tc>
          <w:tcPr>
            <w:tcW w:w="106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100</w:t>
            </w:r>
          </w:p>
        </w:tc>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95-100%</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90-95%</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90%以下</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优</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总结资料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农作物病虫草鼠害防治面积(万亩次)</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产出指标</w:t>
            </w:r>
          </w:p>
        </w:tc>
        <w:tc>
          <w:tcPr>
            <w:tcW w:w="106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1以上</w:t>
            </w:r>
          </w:p>
        </w:tc>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0.95-1</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0.9-0.95</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0.9以下</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优</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总结资料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统防统治完成面积(万亩)</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产出指标</w:t>
            </w:r>
          </w:p>
        </w:tc>
        <w:tc>
          <w:tcPr>
            <w:tcW w:w="106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1以上</w:t>
            </w:r>
          </w:p>
        </w:tc>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0.95-1</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0.9-0.95</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0.9以下</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优</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总结资料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稳定粮食总产产值平衡</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产出指标</w:t>
            </w:r>
          </w:p>
        </w:tc>
        <w:tc>
          <w:tcPr>
            <w:tcW w:w="106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100</w:t>
            </w:r>
          </w:p>
        </w:tc>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95-100%</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90-95%</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90%以下</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优</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总结资料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项目区农民增收比率</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效果指标</w:t>
            </w:r>
          </w:p>
        </w:tc>
        <w:tc>
          <w:tcPr>
            <w:tcW w:w="106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10</w:t>
            </w:r>
          </w:p>
        </w:tc>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9。5-10%</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9-9。5%</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9%以下</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优</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专家测产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项目区农民满意度</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效果指标</w:t>
            </w:r>
          </w:p>
        </w:tc>
        <w:tc>
          <w:tcPr>
            <w:tcW w:w="106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100</w:t>
            </w:r>
          </w:p>
        </w:tc>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95-100%</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90-95%</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90%以下</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优</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专家测产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种植新品种亩增产率</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效果指标</w:t>
            </w:r>
          </w:p>
        </w:tc>
        <w:tc>
          <w:tcPr>
            <w:tcW w:w="106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≥5%</w:t>
            </w:r>
          </w:p>
        </w:tc>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≥4%</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≥3%</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≥2%</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优</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总结资料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总减不合理施肥量(吨)</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效果指标</w:t>
            </w:r>
          </w:p>
        </w:tc>
        <w:tc>
          <w:tcPr>
            <w:tcW w:w="106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8</w:t>
            </w:r>
          </w:p>
        </w:tc>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9</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10</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11</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优</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采购依据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化学农药使用量增长率</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效益指标</w:t>
            </w:r>
          </w:p>
        </w:tc>
        <w:tc>
          <w:tcPr>
            <w:tcW w:w="106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≤1%</w:t>
            </w:r>
          </w:p>
        </w:tc>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≤1.5%</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≤2.0</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≤2.5%</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优</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采购依据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农药利用率</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效益指标</w:t>
            </w:r>
          </w:p>
        </w:tc>
        <w:tc>
          <w:tcPr>
            <w:tcW w:w="106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≥36%</w:t>
            </w:r>
          </w:p>
        </w:tc>
        <w:tc>
          <w:tcPr>
            <w:tcW w:w="119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≥34%</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≥32</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color w:val="000000"/>
                <w:sz w:val="20"/>
                <w:szCs w:val="20"/>
              </w:rPr>
            </w:pPr>
            <w:r>
              <w:rPr>
                <w:rFonts w:hint="eastAsia" w:ascii="仿宋" w:hAnsi="仿宋" w:eastAsia="仿宋" w:cs="Times New Roman"/>
                <w:color w:val="000000"/>
                <w:sz w:val="20"/>
                <w:szCs w:val="20"/>
              </w:rPr>
              <w:t>≥30</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优</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cs="Times New Roman"/>
                <w:color w:val="000000"/>
                <w:szCs w:val="22"/>
              </w:rPr>
              <w:t>调查数据</w:t>
            </w:r>
          </w:p>
        </w:tc>
      </w:tr>
    </w:tbl>
    <w:p>
      <w:pPr>
        <w:rPr>
          <w:rFonts w:ascii="仿宋_GB2312" w:hAnsi="Times New Roman" w:eastAsia="仿宋_GB2312" w:cs="仿宋_GB2312"/>
          <w:b/>
          <w:sz w:val="32"/>
          <w:szCs w:val="32"/>
        </w:rPr>
      </w:pPr>
    </w:p>
    <w:p>
      <w:pPr>
        <w:ind w:firstLine="643" w:firstLineChars="200"/>
        <w:rPr>
          <w:rFonts w:ascii="仿宋_GB2312" w:hAnsi="Times New Roman" w:eastAsia="仿宋_GB2312" w:cs="Times New Roman"/>
          <w:b/>
          <w:sz w:val="32"/>
          <w:szCs w:val="32"/>
        </w:rPr>
      </w:pPr>
      <w:r>
        <w:rPr>
          <w:rFonts w:hint="eastAsia" w:ascii="仿宋_GB2312" w:hAnsi="Times New Roman" w:eastAsia="仿宋_GB2312" w:cs="仿宋_GB2312"/>
          <w:b/>
          <w:sz w:val="32"/>
          <w:szCs w:val="32"/>
        </w:rPr>
        <w:t>（三）自评组织过程</w:t>
      </w:r>
      <w:r>
        <w:rPr>
          <w:rFonts w:hint="eastAsia" w:ascii="仿宋_GB2312" w:hAnsi="Times New Roman" w:eastAsia="仿宋_GB2312" w:cs="Times New Roman"/>
          <w:b/>
          <w:sz w:val="32"/>
          <w:szCs w:val="32"/>
        </w:rPr>
        <w:t xml:space="preserve"> </w:t>
      </w:r>
    </w:p>
    <w:p>
      <w:pPr>
        <w:ind w:firstLine="643" w:firstLineChars="200"/>
        <w:rPr>
          <w:rFonts w:ascii="仿宋_GB2312" w:hAnsi="Times New Roman" w:eastAsia="仿宋_GB2312" w:cs="仿宋_GB2312"/>
          <w:b/>
          <w:sz w:val="32"/>
          <w:szCs w:val="32"/>
        </w:rPr>
      </w:pPr>
      <w:r>
        <w:rPr>
          <w:rFonts w:hint="eastAsia" w:ascii="仿宋_GB2312" w:hAnsi="Times New Roman" w:eastAsia="仿宋_GB2312" w:cs="Times New Roman"/>
          <w:b/>
          <w:sz w:val="32"/>
          <w:szCs w:val="32"/>
        </w:rPr>
        <w:t>1.</w:t>
      </w:r>
      <w:r>
        <w:rPr>
          <w:rFonts w:hint="eastAsia" w:ascii="仿宋_GB2312" w:hAnsi="Times New Roman" w:eastAsia="仿宋_GB2312" w:cs="仿宋_GB2312"/>
          <w:b/>
          <w:sz w:val="32"/>
          <w:szCs w:val="32"/>
        </w:rPr>
        <w:t>前期准备</w:t>
      </w:r>
    </w:p>
    <w:p>
      <w:pPr>
        <w:ind w:firstLine="640" w:firstLineChars="200"/>
        <w:rPr>
          <w:rFonts w:ascii="仿宋_GB2312" w:hAnsi="Times New Roman" w:eastAsia="仿宋_GB2312" w:cs="Times New Roman"/>
          <w:sz w:val="32"/>
          <w:szCs w:val="32"/>
        </w:rPr>
      </w:pPr>
      <w:r>
        <w:rPr>
          <w:rFonts w:hint="eastAsia" w:ascii="仿宋_GB2312" w:hAnsi="Times New Roman" w:eastAsia="仿宋_GB2312" w:cs="仿宋_GB2312"/>
          <w:sz w:val="32"/>
          <w:szCs w:val="32"/>
        </w:rPr>
        <w:t>201</w:t>
      </w:r>
      <w:r>
        <w:rPr>
          <w:rFonts w:hint="eastAsia" w:ascii="仿宋_GB2312" w:hAnsi="Times New Roman" w:eastAsia="仿宋_GB2312" w:cs="仿宋_GB2312"/>
          <w:sz w:val="32"/>
          <w:szCs w:val="32"/>
          <w:lang w:val="en-US" w:eastAsia="zh-CN"/>
        </w:rPr>
        <w:t>6</w:t>
      </w:r>
      <w:bookmarkStart w:id="0" w:name="_GoBack"/>
      <w:bookmarkEnd w:id="0"/>
      <w:r>
        <w:rPr>
          <w:rFonts w:hint="eastAsia" w:ascii="仿宋_GB2312" w:hAnsi="Times New Roman" w:eastAsia="仿宋_GB2312" w:cs="仿宋_GB2312"/>
          <w:sz w:val="32"/>
          <w:szCs w:val="32"/>
        </w:rPr>
        <w:t>年3月项目立项后，进行项目自评工作前期准备工作，收集项目资料等工作。</w:t>
      </w:r>
    </w:p>
    <w:p>
      <w:pPr>
        <w:ind w:firstLine="643" w:firstLineChars="200"/>
        <w:rPr>
          <w:rFonts w:ascii="仿宋_GB2312" w:hAnsi="Times New Roman" w:eastAsia="仿宋_GB2312" w:cs="仿宋_GB2312"/>
          <w:b/>
          <w:sz w:val="32"/>
          <w:szCs w:val="32"/>
        </w:rPr>
      </w:pPr>
      <w:r>
        <w:rPr>
          <w:rFonts w:hint="eastAsia" w:ascii="仿宋_GB2312" w:hAnsi="Times New Roman" w:eastAsia="仿宋_GB2312" w:cs="Times New Roman"/>
          <w:b/>
          <w:sz w:val="32"/>
          <w:szCs w:val="32"/>
        </w:rPr>
        <w:t>2.</w:t>
      </w:r>
      <w:r>
        <w:rPr>
          <w:rFonts w:hint="eastAsia" w:ascii="仿宋_GB2312" w:hAnsi="Times New Roman" w:eastAsia="仿宋_GB2312" w:cs="仿宋_GB2312"/>
          <w:b/>
          <w:sz w:val="32"/>
          <w:szCs w:val="32"/>
        </w:rPr>
        <w:t>组织实施</w:t>
      </w:r>
    </w:p>
    <w:p>
      <w:pPr>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2017年9月组织实施项目自评等工作。</w:t>
      </w:r>
    </w:p>
    <w:p>
      <w:pPr>
        <w:pStyle w:val="7"/>
        <w:numPr>
          <w:ilvl w:val="0"/>
          <w:numId w:val="1"/>
        </w:numPr>
        <w:ind w:firstLineChars="0"/>
        <w:rPr>
          <w:rFonts w:ascii="仿宋_GB2312" w:hAnsi="黑体" w:eastAsia="仿宋_GB2312" w:cs="黑体"/>
          <w:b/>
          <w:sz w:val="32"/>
          <w:szCs w:val="32"/>
        </w:rPr>
      </w:pPr>
      <w:r>
        <w:rPr>
          <w:rFonts w:hint="eastAsia" w:ascii="仿宋_GB2312" w:hAnsi="黑体" w:eastAsia="仿宋_GB2312" w:cs="黑体"/>
          <w:b/>
          <w:sz w:val="32"/>
          <w:szCs w:val="32"/>
        </w:rPr>
        <w:t>评价情况分析及综合评价结论</w:t>
      </w:r>
    </w:p>
    <w:p>
      <w:pPr>
        <w:ind w:firstLine="640" w:firstLineChars="200"/>
        <w:rPr>
          <w:rFonts w:ascii="仿宋_GB2312" w:eastAsia="仿宋_GB2312"/>
          <w:sz w:val="32"/>
          <w:szCs w:val="32"/>
        </w:rPr>
      </w:pPr>
      <w:r>
        <w:rPr>
          <w:rFonts w:hint="eastAsia" w:ascii="仿宋_GB2312" w:eastAsia="仿宋_GB2312"/>
          <w:sz w:val="32"/>
          <w:szCs w:val="32"/>
        </w:rPr>
        <w:t>项目实施完成玉米绿色高产高效核心区完成300亩；展示区完成500亩；辐射区完成面1万亩；项目培训农民360人、项目区技术培训覆盖率为100%；项目完成及时率100%；农作物病虫草鼠害防治面积1万亩；稳定粮食总产产值平衡100%；项目区农民增收比率达到11%；项目区农民满意度100%；种植新品种亩增产率20%；总减不合理施肥量控制在8；化学农药使用量增长率控制在1%以下；农药利用率大于36%；项目综合评价分为优秀（S≥95）。</w:t>
      </w:r>
    </w:p>
    <w:p>
      <w:pPr>
        <w:pStyle w:val="7"/>
        <w:numPr>
          <w:ilvl w:val="0"/>
          <w:numId w:val="1"/>
        </w:numPr>
        <w:ind w:firstLineChars="0"/>
        <w:rPr>
          <w:rFonts w:ascii="仿宋_GB2312" w:hAnsi="黑体" w:eastAsia="仿宋_GB2312" w:cs="黑体"/>
          <w:b/>
          <w:sz w:val="32"/>
          <w:szCs w:val="32"/>
        </w:rPr>
      </w:pPr>
      <w:r>
        <w:rPr>
          <w:rFonts w:hint="eastAsia" w:ascii="仿宋_GB2312" w:hAnsi="黑体" w:eastAsia="仿宋_GB2312" w:cs="黑体"/>
          <w:b/>
          <w:sz w:val="32"/>
          <w:szCs w:val="32"/>
        </w:rPr>
        <w:t>存在的问题和整改情况</w:t>
      </w:r>
    </w:p>
    <w:p>
      <w:pPr>
        <w:pStyle w:val="7"/>
        <w:ind w:firstLine="0" w:firstLineChars="0"/>
        <w:rPr>
          <w:rFonts w:ascii="仿宋_GB2312" w:hAnsi="Times New Roman" w:eastAsia="仿宋_GB2312" w:cs="Times New Roman"/>
          <w:sz w:val="32"/>
          <w:szCs w:val="32"/>
        </w:rPr>
      </w:pPr>
      <w:r>
        <w:rPr>
          <w:rFonts w:hint="eastAsia" w:ascii="仿宋_GB2312" w:hAnsi="Times New Roman" w:eastAsia="仿宋_GB2312" w:cs="Times New Roman"/>
          <w:b/>
          <w:sz w:val="32"/>
          <w:szCs w:val="32"/>
        </w:rPr>
        <w:t xml:space="preserve">    </w:t>
      </w:r>
      <w:r>
        <w:rPr>
          <w:rFonts w:hint="eastAsia" w:ascii="仿宋_GB2312" w:hAnsi="Times New Roman" w:eastAsia="仿宋_GB2312" w:cs="Times New Roman"/>
          <w:sz w:val="32"/>
          <w:szCs w:val="32"/>
        </w:rPr>
        <w:t>认真总结工作中的经验教训，创新工作方式方法。按照上级的新要求、新标准，继续落实实施好今后的农业发展专项粮食生产项目。</w:t>
      </w:r>
    </w:p>
    <w:p>
      <w:pPr>
        <w:pStyle w:val="7"/>
        <w:ind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rPr>
        <w:t>我所在今年的省农业发展专项粮食生产项目中虽然高度重视，全力以赴，但在组织能力、管理能力、项目实施水平等方面与上级粮食生产项目的新要求、新标准还有一定的差距，在今后的工作中，还需进一步深入学习，强化培训，使各方面工作都上一个新的台阶。</w:t>
      </w:r>
    </w:p>
    <w:p>
      <w:pPr>
        <w:pStyle w:val="7"/>
        <w:ind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rPr>
        <w:t>由于项目下达晚，资金到位较慢，严重影响了该项目的实施。同时建议上级部门对绿色高产高效项目予以重视，增加资金投入，我们将按照上级部门的相关要求，切实做好各项工作，圆满完成下年度省级绿色高产高效创建项目任务指标。</w:t>
      </w:r>
    </w:p>
    <w:p>
      <w:pPr>
        <w:pStyle w:val="7"/>
        <w:numPr>
          <w:ilvl w:val="0"/>
          <w:numId w:val="1"/>
        </w:numPr>
        <w:ind w:firstLineChars="0"/>
        <w:rPr>
          <w:rFonts w:ascii="仿宋_GB2312" w:hAnsi="黑体" w:eastAsia="仿宋_GB2312" w:cs="黑体"/>
          <w:b/>
          <w:sz w:val="32"/>
          <w:szCs w:val="32"/>
        </w:rPr>
      </w:pPr>
      <w:r>
        <w:rPr>
          <w:rFonts w:hint="eastAsia" w:ascii="仿宋_GB2312" w:hAnsi="黑体" w:eastAsia="仿宋_GB2312" w:cs="黑体"/>
          <w:b/>
          <w:sz w:val="32"/>
          <w:szCs w:val="32"/>
        </w:rPr>
        <w:t>绩效自评结果应用</w:t>
      </w:r>
    </w:p>
    <w:p>
      <w:pPr>
        <w:pStyle w:val="7"/>
        <w:ind w:firstLine="0" w:firstLineChars="0"/>
        <w:rPr>
          <w:rFonts w:ascii="仿宋_GB2312" w:hAnsi="黑体" w:eastAsia="仿宋_GB2312" w:cs="黑体"/>
          <w:sz w:val="32"/>
          <w:szCs w:val="32"/>
        </w:rPr>
      </w:pPr>
      <w:r>
        <w:rPr>
          <w:rFonts w:hint="eastAsia" w:ascii="仿宋_GB2312" w:hAnsi="黑体" w:eastAsia="仿宋_GB2312" w:cs="黑体"/>
          <w:b/>
          <w:sz w:val="32"/>
          <w:szCs w:val="32"/>
        </w:rPr>
        <w:t xml:space="preserve">   </w:t>
      </w:r>
      <w:r>
        <w:rPr>
          <w:rFonts w:hint="eastAsia" w:ascii="仿宋_GB2312" w:hAnsi="黑体" w:eastAsia="仿宋_GB2312" w:cs="黑体"/>
          <w:sz w:val="32"/>
          <w:szCs w:val="32"/>
        </w:rPr>
        <w:t xml:space="preserve"> 绩效评价结果应用，既是开展绩效评价工作的基本前提，又是加强财政支出管理、增强资金绩效理念、合理配置公共资源、优化财政支出结构、强化资金管理水平、提高资金使用效益的重要手段。为使绩效评价结果得到合理应用，应将此次绩效评价结果作为以后年度建设资金分配的重要依据。</w:t>
      </w:r>
    </w:p>
    <w:p>
      <w:pPr>
        <w:pStyle w:val="7"/>
        <w:ind w:firstLine="640"/>
        <w:rPr>
          <w:rFonts w:ascii="仿宋_GB2312" w:hAnsi="黑体" w:eastAsia="仿宋_GB2312" w:cs="黑体"/>
          <w:sz w:val="32"/>
          <w:szCs w:val="32"/>
        </w:rPr>
      </w:pPr>
      <w:r>
        <w:rPr>
          <w:rFonts w:hint="eastAsia" w:ascii="仿宋_GB2312" w:hAnsi="黑体" w:eastAsia="仿宋_GB2312" w:cs="黑体"/>
          <w:sz w:val="32"/>
          <w:szCs w:val="32"/>
        </w:rPr>
        <w:t>绩效评价是对效果的评价，评价结果直接反应项目实施的效益。</w:t>
      </w:r>
    </w:p>
    <w:p>
      <w:pPr>
        <w:pStyle w:val="7"/>
        <w:numPr>
          <w:ilvl w:val="0"/>
          <w:numId w:val="1"/>
        </w:numPr>
        <w:ind w:firstLineChars="0"/>
        <w:rPr>
          <w:rFonts w:ascii="仿宋_GB2312" w:hAnsi="黑体" w:eastAsia="仿宋_GB2312" w:cs="黑体"/>
          <w:b/>
          <w:sz w:val="32"/>
          <w:szCs w:val="32"/>
        </w:rPr>
      </w:pPr>
      <w:r>
        <w:rPr>
          <w:rFonts w:hint="eastAsia" w:ascii="仿宋_GB2312" w:hAnsi="黑体" w:eastAsia="仿宋_GB2312" w:cs="黑体"/>
          <w:b/>
          <w:sz w:val="32"/>
          <w:szCs w:val="32"/>
        </w:rPr>
        <w:t>主要经验及做法</w:t>
      </w:r>
    </w:p>
    <w:p>
      <w:pPr>
        <w:pStyle w:val="7"/>
        <w:ind w:firstLine="0" w:firstLineChars="0"/>
        <w:rPr>
          <w:rFonts w:ascii="仿宋_GB2312" w:hAnsi="黑体" w:eastAsia="仿宋_GB2312" w:cs="黑体"/>
          <w:sz w:val="32"/>
          <w:szCs w:val="32"/>
        </w:rPr>
      </w:pPr>
      <w:r>
        <w:rPr>
          <w:rFonts w:hint="eastAsia" w:ascii="仿宋_GB2312" w:hAnsi="黑体" w:eastAsia="仿宋_GB2312" w:cs="黑体"/>
          <w:b/>
          <w:sz w:val="32"/>
          <w:szCs w:val="32"/>
        </w:rPr>
        <w:t xml:space="preserve">   </w:t>
      </w:r>
      <w:r>
        <w:rPr>
          <w:rFonts w:hint="eastAsia" w:ascii="仿宋_GB2312" w:hAnsi="黑体" w:eastAsia="仿宋_GB2312" w:cs="黑体"/>
          <w:sz w:val="32"/>
          <w:szCs w:val="32"/>
        </w:rPr>
        <w:t xml:space="preserve"> 组织保障是关键。省级玉米绿色高产高效创建项目得到了州农牧局领导的高度重视，切实加强了组织领导，成立了领导小组，落实责任，强化考核；得到了项目协作单位维西县农科局的大力支持，保障了省级玉米绿色高产高效创建项目落实到位。</w:t>
      </w:r>
    </w:p>
    <w:p>
      <w:pPr>
        <w:pStyle w:val="7"/>
        <w:ind w:firstLine="640"/>
        <w:rPr>
          <w:rFonts w:ascii="仿宋_GB2312" w:hAnsi="黑体" w:eastAsia="仿宋_GB2312" w:cs="黑体"/>
          <w:sz w:val="32"/>
          <w:szCs w:val="32"/>
        </w:rPr>
      </w:pPr>
      <w:r>
        <w:rPr>
          <w:rFonts w:hint="eastAsia" w:ascii="仿宋_GB2312" w:hAnsi="黑体" w:eastAsia="仿宋_GB2312" w:cs="黑体"/>
          <w:sz w:val="32"/>
          <w:szCs w:val="32"/>
        </w:rPr>
        <w:t>政策扶持是动力。实施省农业发展专项粮食生产项目,需要筹集大量的财力和人力,通过政策扶持，在配方施肥、科技培训误工费等方面加以补助，为项目的顺利实施提供动力。</w:t>
      </w:r>
    </w:p>
    <w:p>
      <w:pPr>
        <w:pStyle w:val="7"/>
        <w:ind w:firstLine="640"/>
        <w:rPr>
          <w:rFonts w:ascii="仿宋_GB2312" w:hAnsi="黑体" w:eastAsia="仿宋_GB2312" w:cs="黑体"/>
          <w:sz w:val="32"/>
          <w:szCs w:val="32"/>
        </w:rPr>
      </w:pPr>
      <w:r>
        <w:rPr>
          <w:rFonts w:hint="eastAsia" w:ascii="仿宋_GB2312" w:hAnsi="黑体" w:eastAsia="仿宋_GB2312" w:cs="黑体"/>
          <w:sz w:val="32"/>
          <w:szCs w:val="32"/>
        </w:rPr>
        <w:t>优良品种是基础。项目区选择适应性好、抗病性强、丰产性好、优良的品种，为省级玉米绿色高产高效创建项目奠定了基础。</w:t>
      </w:r>
    </w:p>
    <w:p>
      <w:pPr>
        <w:pStyle w:val="7"/>
        <w:numPr>
          <w:ilvl w:val="0"/>
          <w:numId w:val="1"/>
        </w:numPr>
        <w:ind w:firstLineChars="0"/>
        <w:rPr>
          <w:rFonts w:ascii="仿宋_GB2312" w:hAnsi="黑体" w:eastAsia="仿宋_GB2312" w:cs="黑体"/>
          <w:b/>
          <w:sz w:val="32"/>
          <w:szCs w:val="32"/>
        </w:rPr>
      </w:pPr>
      <w:r>
        <w:rPr>
          <w:rFonts w:hint="eastAsia" w:ascii="仿宋_GB2312" w:hAnsi="黑体" w:eastAsia="仿宋_GB2312" w:cs="黑体"/>
          <w:b/>
          <w:sz w:val="32"/>
          <w:szCs w:val="32"/>
        </w:rPr>
        <w:t>其他需说明的情况</w:t>
      </w:r>
    </w:p>
    <w:p>
      <w:pPr>
        <w:pStyle w:val="7"/>
        <w:ind w:firstLine="660" w:firstLineChars="0"/>
        <w:rPr>
          <w:rFonts w:ascii="仿宋_GB2312" w:hAnsi="Times New Roman" w:eastAsia="仿宋_GB2312" w:cs="Times New Roman"/>
          <w:sz w:val="32"/>
          <w:szCs w:val="32"/>
        </w:rPr>
      </w:pPr>
      <w:r>
        <w:rPr>
          <w:rFonts w:hint="eastAsia" w:ascii="仿宋_GB2312" w:hAnsi="Times New Roman" w:eastAsia="仿宋_GB2312" w:cs="Times New Roman"/>
          <w:sz w:val="32"/>
          <w:szCs w:val="32"/>
        </w:rPr>
        <w:t>无</w:t>
      </w:r>
    </w:p>
    <w:p>
      <w:pPr>
        <w:pStyle w:val="7"/>
        <w:ind w:firstLine="660" w:firstLineChars="0"/>
        <w:rPr>
          <w:rFonts w:ascii="仿宋_GB2312" w:hAnsi="Times New Roman" w:eastAsia="仿宋_GB2312" w:cs="Times New Roman"/>
          <w:sz w:val="32"/>
          <w:szCs w:val="32"/>
        </w:rPr>
      </w:pPr>
    </w:p>
    <w:p>
      <w:pPr>
        <w:pStyle w:val="7"/>
        <w:ind w:firstLine="0" w:firstLineChars="0"/>
        <w:rPr>
          <w:rFonts w:ascii="仿宋_GB2312" w:hAnsi="Times New Roman" w:eastAsia="仿宋_GB2312" w:cs="Times New Roman"/>
          <w:sz w:val="32"/>
          <w:szCs w:val="32"/>
        </w:rPr>
      </w:pPr>
    </w:p>
    <w:p>
      <w:pPr>
        <w:pStyle w:val="7"/>
        <w:ind w:firstLine="660" w:firstLineChars="0"/>
        <w:rPr>
          <w:rFonts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迪庆州农业科学研究所</w:t>
      </w:r>
    </w:p>
    <w:p>
      <w:pPr>
        <w:pStyle w:val="7"/>
        <w:ind w:firstLine="5120" w:firstLineChars="1600"/>
        <w:rPr>
          <w:rFonts w:ascii="仿宋_GB2312" w:hAnsi="Times New Roman" w:eastAsia="仿宋_GB2312" w:cs="Times New Roman"/>
          <w:sz w:val="32"/>
          <w:szCs w:val="32"/>
        </w:rPr>
      </w:pPr>
      <w:r>
        <w:rPr>
          <w:rFonts w:hint="eastAsia" w:ascii="仿宋_GB2312" w:hAnsi="Times New Roman" w:eastAsia="仿宋_GB2312" w:cs="Times New Roman"/>
          <w:sz w:val="32"/>
          <w:szCs w:val="32"/>
        </w:rPr>
        <w:t>2017年9月15日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方正小标宋简体">
    <w:altName w:val="微软雅黑"/>
    <w:panose1 w:val="03000509000000000000"/>
    <w:charset w:val="86"/>
    <w:family w:val="script"/>
    <w:pitch w:val="default"/>
    <w:sig w:usb0="00000000" w:usb1="00000000" w:usb2="00000010" w:usb3="00000000" w:csb0="00040000" w:csb1="00000000"/>
  </w:font>
  <w:font w:name="仿宋">
    <w:altName w:val="仿宋_GB2312"/>
    <w:panose1 w:val="02010609060101010101"/>
    <w:charset w:val="86"/>
    <w:family w:val="modern"/>
    <w:pitch w:val="default"/>
    <w:sig w:usb0="00000000" w:usb1="00000000" w:usb2="00000016" w:usb3="00000000" w:csb0="00040001" w:csb1="00000000"/>
  </w:font>
  <w:font w:name="微软雅黑">
    <w:panose1 w:val="020B0503020204020204"/>
    <w:charset w:val="86"/>
    <w:family w:val="auto"/>
    <w:pitch w:val="default"/>
    <w:sig w:usb0="80000287" w:usb1="2A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D67959"/>
    <w:multiLevelType w:val="multilevel"/>
    <w:tmpl w:val="2BD67959"/>
    <w:lvl w:ilvl="0" w:tentative="0">
      <w:start w:val="1"/>
      <w:numFmt w:val="japaneseCounting"/>
      <w:lvlText w:val="%1、"/>
      <w:lvlJc w:val="left"/>
      <w:pPr>
        <w:ind w:left="1363" w:hanging="720"/>
      </w:pPr>
      <w:rPr>
        <w:rFonts w:hint="default" w:hAnsi="黑体" w:cs="黑体"/>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abstractNum w:abstractNumId="1">
    <w:nsid w:val="5A7622E3"/>
    <w:multiLevelType w:val="multilevel"/>
    <w:tmpl w:val="5A7622E3"/>
    <w:lvl w:ilvl="0" w:tentative="0">
      <w:start w:val="1"/>
      <w:numFmt w:val="japaneseCounting"/>
      <w:lvlText w:val="（%1）"/>
      <w:lvlJc w:val="left"/>
      <w:pPr>
        <w:ind w:left="1723" w:hanging="1080"/>
      </w:pPr>
      <w:rPr>
        <w:rFonts w:hint="default" w:cs="Calibri"/>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7687"/>
    <w:rsid w:val="000016A4"/>
    <w:rsid w:val="000051D9"/>
    <w:rsid w:val="00012667"/>
    <w:rsid w:val="000129EE"/>
    <w:rsid w:val="00012AE1"/>
    <w:rsid w:val="00013341"/>
    <w:rsid w:val="00015C16"/>
    <w:rsid w:val="00026340"/>
    <w:rsid w:val="00035D95"/>
    <w:rsid w:val="00036697"/>
    <w:rsid w:val="00036FEA"/>
    <w:rsid w:val="00041070"/>
    <w:rsid w:val="00042344"/>
    <w:rsid w:val="000430E9"/>
    <w:rsid w:val="00043BF6"/>
    <w:rsid w:val="000463C0"/>
    <w:rsid w:val="000473D0"/>
    <w:rsid w:val="00051D96"/>
    <w:rsid w:val="00055423"/>
    <w:rsid w:val="00057058"/>
    <w:rsid w:val="00057947"/>
    <w:rsid w:val="00057DE5"/>
    <w:rsid w:val="00061779"/>
    <w:rsid w:val="00063EB1"/>
    <w:rsid w:val="000661BB"/>
    <w:rsid w:val="00066BA4"/>
    <w:rsid w:val="00066E06"/>
    <w:rsid w:val="000677FD"/>
    <w:rsid w:val="00067E32"/>
    <w:rsid w:val="000748A7"/>
    <w:rsid w:val="00074ED6"/>
    <w:rsid w:val="00076B6E"/>
    <w:rsid w:val="00080654"/>
    <w:rsid w:val="00080751"/>
    <w:rsid w:val="0008147D"/>
    <w:rsid w:val="00090CBA"/>
    <w:rsid w:val="00094A1E"/>
    <w:rsid w:val="00097489"/>
    <w:rsid w:val="000A1712"/>
    <w:rsid w:val="000A1D67"/>
    <w:rsid w:val="000A66A0"/>
    <w:rsid w:val="000A6F34"/>
    <w:rsid w:val="000B0189"/>
    <w:rsid w:val="000B27ED"/>
    <w:rsid w:val="000B309A"/>
    <w:rsid w:val="000B34AE"/>
    <w:rsid w:val="000B46A1"/>
    <w:rsid w:val="000C172A"/>
    <w:rsid w:val="000C3BA2"/>
    <w:rsid w:val="000C592B"/>
    <w:rsid w:val="000D097E"/>
    <w:rsid w:val="000D189A"/>
    <w:rsid w:val="000D3E82"/>
    <w:rsid w:val="000D4C6E"/>
    <w:rsid w:val="000D588C"/>
    <w:rsid w:val="000D5AA5"/>
    <w:rsid w:val="000D7067"/>
    <w:rsid w:val="000E118F"/>
    <w:rsid w:val="000E18C5"/>
    <w:rsid w:val="000E2E68"/>
    <w:rsid w:val="000E361F"/>
    <w:rsid w:val="000E6327"/>
    <w:rsid w:val="000F02E8"/>
    <w:rsid w:val="000F3D74"/>
    <w:rsid w:val="000F46A8"/>
    <w:rsid w:val="000F73D8"/>
    <w:rsid w:val="000F7918"/>
    <w:rsid w:val="00101CE0"/>
    <w:rsid w:val="0010603B"/>
    <w:rsid w:val="001063FE"/>
    <w:rsid w:val="0010794B"/>
    <w:rsid w:val="00122580"/>
    <w:rsid w:val="00125785"/>
    <w:rsid w:val="00125DDD"/>
    <w:rsid w:val="00126162"/>
    <w:rsid w:val="001272A2"/>
    <w:rsid w:val="001278A5"/>
    <w:rsid w:val="00137825"/>
    <w:rsid w:val="00140FD9"/>
    <w:rsid w:val="001422FE"/>
    <w:rsid w:val="001435F4"/>
    <w:rsid w:val="00143767"/>
    <w:rsid w:val="00144DDE"/>
    <w:rsid w:val="001460A2"/>
    <w:rsid w:val="00146AC0"/>
    <w:rsid w:val="00150940"/>
    <w:rsid w:val="00151203"/>
    <w:rsid w:val="00151A59"/>
    <w:rsid w:val="00156E80"/>
    <w:rsid w:val="00157D72"/>
    <w:rsid w:val="00170038"/>
    <w:rsid w:val="00177260"/>
    <w:rsid w:val="00183C5A"/>
    <w:rsid w:val="00184D02"/>
    <w:rsid w:val="00186283"/>
    <w:rsid w:val="001901B5"/>
    <w:rsid w:val="00193DF0"/>
    <w:rsid w:val="00194ED0"/>
    <w:rsid w:val="00195A74"/>
    <w:rsid w:val="00196E02"/>
    <w:rsid w:val="001A09A1"/>
    <w:rsid w:val="001A13F7"/>
    <w:rsid w:val="001A42A9"/>
    <w:rsid w:val="001A4D42"/>
    <w:rsid w:val="001A5282"/>
    <w:rsid w:val="001A5C3E"/>
    <w:rsid w:val="001B05AF"/>
    <w:rsid w:val="001B0DAF"/>
    <w:rsid w:val="001B470D"/>
    <w:rsid w:val="001B62D1"/>
    <w:rsid w:val="001C0B96"/>
    <w:rsid w:val="001C123A"/>
    <w:rsid w:val="001C24B3"/>
    <w:rsid w:val="001C3690"/>
    <w:rsid w:val="001C43BB"/>
    <w:rsid w:val="001C5689"/>
    <w:rsid w:val="001C56F9"/>
    <w:rsid w:val="001C5FFC"/>
    <w:rsid w:val="001D5959"/>
    <w:rsid w:val="001D694F"/>
    <w:rsid w:val="001D6A67"/>
    <w:rsid w:val="001D6E16"/>
    <w:rsid w:val="001D79C1"/>
    <w:rsid w:val="001E062A"/>
    <w:rsid w:val="001E0F99"/>
    <w:rsid w:val="001E11AC"/>
    <w:rsid w:val="001E11D1"/>
    <w:rsid w:val="001F085E"/>
    <w:rsid w:val="001F2421"/>
    <w:rsid w:val="001F3C20"/>
    <w:rsid w:val="001F562F"/>
    <w:rsid w:val="001F566E"/>
    <w:rsid w:val="00205D6D"/>
    <w:rsid w:val="002114C9"/>
    <w:rsid w:val="00213CD0"/>
    <w:rsid w:val="00220D03"/>
    <w:rsid w:val="002268E7"/>
    <w:rsid w:val="00230F12"/>
    <w:rsid w:val="00231C20"/>
    <w:rsid w:val="00236AAE"/>
    <w:rsid w:val="00236BE0"/>
    <w:rsid w:val="00240A99"/>
    <w:rsid w:val="00242297"/>
    <w:rsid w:val="00245589"/>
    <w:rsid w:val="002476AA"/>
    <w:rsid w:val="00247DA3"/>
    <w:rsid w:val="00253773"/>
    <w:rsid w:val="00254089"/>
    <w:rsid w:val="002549D7"/>
    <w:rsid w:val="0025507D"/>
    <w:rsid w:val="00262CD6"/>
    <w:rsid w:val="00264DC6"/>
    <w:rsid w:val="0027077F"/>
    <w:rsid w:val="00270F59"/>
    <w:rsid w:val="002727E8"/>
    <w:rsid w:val="00272C3E"/>
    <w:rsid w:val="002752B0"/>
    <w:rsid w:val="00280AD7"/>
    <w:rsid w:val="00282DE8"/>
    <w:rsid w:val="0028498F"/>
    <w:rsid w:val="002849AD"/>
    <w:rsid w:val="0028770E"/>
    <w:rsid w:val="00291977"/>
    <w:rsid w:val="00291C76"/>
    <w:rsid w:val="002921A2"/>
    <w:rsid w:val="00292D02"/>
    <w:rsid w:val="00294E89"/>
    <w:rsid w:val="002962A9"/>
    <w:rsid w:val="00296674"/>
    <w:rsid w:val="002974F0"/>
    <w:rsid w:val="00297D5A"/>
    <w:rsid w:val="002A231A"/>
    <w:rsid w:val="002A2929"/>
    <w:rsid w:val="002A7687"/>
    <w:rsid w:val="002B13F6"/>
    <w:rsid w:val="002B54D6"/>
    <w:rsid w:val="002C62C3"/>
    <w:rsid w:val="002C6D3A"/>
    <w:rsid w:val="002D159E"/>
    <w:rsid w:val="002D1751"/>
    <w:rsid w:val="002D1800"/>
    <w:rsid w:val="002D4870"/>
    <w:rsid w:val="002D5CA2"/>
    <w:rsid w:val="002D6C98"/>
    <w:rsid w:val="002E2653"/>
    <w:rsid w:val="002E69B9"/>
    <w:rsid w:val="002E7294"/>
    <w:rsid w:val="002F3197"/>
    <w:rsid w:val="002F3B49"/>
    <w:rsid w:val="002F5285"/>
    <w:rsid w:val="00300EC8"/>
    <w:rsid w:val="00302D31"/>
    <w:rsid w:val="00305387"/>
    <w:rsid w:val="00306EEF"/>
    <w:rsid w:val="0031020E"/>
    <w:rsid w:val="0031237A"/>
    <w:rsid w:val="003126ED"/>
    <w:rsid w:val="00320544"/>
    <w:rsid w:val="0032075C"/>
    <w:rsid w:val="00321228"/>
    <w:rsid w:val="00321EB0"/>
    <w:rsid w:val="00327F4E"/>
    <w:rsid w:val="00333024"/>
    <w:rsid w:val="0033390F"/>
    <w:rsid w:val="00340594"/>
    <w:rsid w:val="00340EA3"/>
    <w:rsid w:val="0034193B"/>
    <w:rsid w:val="003439DB"/>
    <w:rsid w:val="00352ECF"/>
    <w:rsid w:val="00354220"/>
    <w:rsid w:val="003572B3"/>
    <w:rsid w:val="00357CE4"/>
    <w:rsid w:val="00357FE6"/>
    <w:rsid w:val="00361EBE"/>
    <w:rsid w:val="0036527A"/>
    <w:rsid w:val="00370916"/>
    <w:rsid w:val="00371F9B"/>
    <w:rsid w:val="00372BFB"/>
    <w:rsid w:val="00374079"/>
    <w:rsid w:val="00381FB8"/>
    <w:rsid w:val="00383013"/>
    <w:rsid w:val="00385C7B"/>
    <w:rsid w:val="00391C00"/>
    <w:rsid w:val="003954DD"/>
    <w:rsid w:val="003A1A0A"/>
    <w:rsid w:val="003A25EB"/>
    <w:rsid w:val="003A4B4A"/>
    <w:rsid w:val="003A7E8F"/>
    <w:rsid w:val="003C2DD5"/>
    <w:rsid w:val="003C2F17"/>
    <w:rsid w:val="003C3832"/>
    <w:rsid w:val="003C465B"/>
    <w:rsid w:val="003C69E4"/>
    <w:rsid w:val="003D0AB6"/>
    <w:rsid w:val="003D1EFE"/>
    <w:rsid w:val="003D3657"/>
    <w:rsid w:val="003D51A5"/>
    <w:rsid w:val="003D751F"/>
    <w:rsid w:val="003E2816"/>
    <w:rsid w:val="003E67A1"/>
    <w:rsid w:val="003F0CE1"/>
    <w:rsid w:val="003F1733"/>
    <w:rsid w:val="003F233E"/>
    <w:rsid w:val="003F33A5"/>
    <w:rsid w:val="003F45CA"/>
    <w:rsid w:val="003F6CC0"/>
    <w:rsid w:val="003F7CD8"/>
    <w:rsid w:val="00402427"/>
    <w:rsid w:val="0040420A"/>
    <w:rsid w:val="004045DF"/>
    <w:rsid w:val="00407042"/>
    <w:rsid w:val="00410E0B"/>
    <w:rsid w:val="004118F8"/>
    <w:rsid w:val="004145E4"/>
    <w:rsid w:val="00416893"/>
    <w:rsid w:val="00417F43"/>
    <w:rsid w:val="004218E6"/>
    <w:rsid w:val="004240E7"/>
    <w:rsid w:val="00424A60"/>
    <w:rsid w:val="004276E4"/>
    <w:rsid w:val="004300BC"/>
    <w:rsid w:val="00431AA7"/>
    <w:rsid w:val="0043470D"/>
    <w:rsid w:val="004357C6"/>
    <w:rsid w:val="004373C9"/>
    <w:rsid w:val="00437D55"/>
    <w:rsid w:val="004415AB"/>
    <w:rsid w:val="00443FEE"/>
    <w:rsid w:val="00445E4C"/>
    <w:rsid w:val="00447040"/>
    <w:rsid w:val="004534AF"/>
    <w:rsid w:val="00453DE9"/>
    <w:rsid w:val="0045429F"/>
    <w:rsid w:val="00455389"/>
    <w:rsid w:val="004559C0"/>
    <w:rsid w:val="004578FB"/>
    <w:rsid w:val="004637D2"/>
    <w:rsid w:val="0046445A"/>
    <w:rsid w:val="00465FD1"/>
    <w:rsid w:val="004664AC"/>
    <w:rsid w:val="00467B01"/>
    <w:rsid w:val="004721C2"/>
    <w:rsid w:val="00474B20"/>
    <w:rsid w:val="00475878"/>
    <w:rsid w:val="0047654E"/>
    <w:rsid w:val="00477CB7"/>
    <w:rsid w:val="0048008E"/>
    <w:rsid w:val="00480BCF"/>
    <w:rsid w:val="0048265E"/>
    <w:rsid w:val="00483A76"/>
    <w:rsid w:val="004850AE"/>
    <w:rsid w:val="004869DA"/>
    <w:rsid w:val="00487662"/>
    <w:rsid w:val="004878C6"/>
    <w:rsid w:val="00490385"/>
    <w:rsid w:val="00490855"/>
    <w:rsid w:val="00494D6D"/>
    <w:rsid w:val="0049618F"/>
    <w:rsid w:val="004A1466"/>
    <w:rsid w:val="004A38FF"/>
    <w:rsid w:val="004A74AD"/>
    <w:rsid w:val="004B0BFE"/>
    <w:rsid w:val="004B36DF"/>
    <w:rsid w:val="004B3E69"/>
    <w:rsid w:val="004B46BB"/>
    <w:rsid w:val="004C12FE"/>
    <w:rsid w:val="004C1D4E"/>
    <w:rsid w:val="004C2C67"/>
    <w:rsid w:val="004C5C46"/>
    <w:rsid w:val="004C7DA8"/>
    <w:rsid w:val="004D1024"/>
    <w:rsid w:val="004D178E"/>
    <w:rsid w:val="004D2801"/>
    <w:rsid w:val="004D4A15"/>
    <w:rsid w:val="004D4B33"/>
    <w:rsid w:val="004D4FDF"/>
    <w:rsid w:val="004D50AC"/>
    <w:rsid w:val="004D51CC"/>
    <w:rsid w:val="004E2902"/>
    <w:rsid w:val="004E42A8"/>
    <w:rsid w:val="004E5134"/>
    <w:rsid w:val="004F2C71"/>
    <w:rsid w:val="004F5329"/>
    <w:rsid w:val="004F6161"/>
    <w:rsid w:val="004F7EEA"/>
    <w:rsid w:val="0050265E"/>
    <w:rsid w:val="00502F31"/>
    <w:rsid w:val="00506432"/>
    <w:rsid w:val="005067B4"/>
    <w:rsid w:val="0051008E"/>
    <w:rsid w:val="00512B26"/>
    <w:rsid w:val="00514B4D"/>
    <w:rsid w:val="00515FC1"/>
    <w:rsid w:val="0051753E"/>
    <w:rsid w:val="00523039"/>
    <w:rsid w:val="00523D87"/>
    <w:rsid w:val="00532D25"/>
    <w:rsid w:val="00533597"/>
    <w:rsid w:val="00535240"/>
    <w:rsid w:val="00537A0F"/>
    <w:rsid w:val="0054025E"/>
    <w:rsid w:val="00540FDC"/>
    <w:rsid w:val="005454E9"/>
    <w:rsid w:val="00547A70"/>
    <w:rsid w:val="00551698"/>
    <w:rsid w:val="0055267A"/>
    <w:rsid w:val="00554DB2"/>
    <w:rsid w:val="005554C8"/>
    <w:rsid w:val="00555545"/>
    <w:rsid w:val="00557BD3"/>
    <w:rsid w:val="00560A53"/>
    <w:rsid w:val="00562983"/>
    <w:rsid w:val="005643D2"/>
    <w:rsid w:val="00564EBC"/>
    <w:rsid w:val="00571E5E"/>
    <w:rsid w:val="005727B6"/>
    <w:rsid w:val="005745CE"/>
    <w:rsid w:val="00574C90"/>
    <w:rsid w:val="00577C18"/>
    <w:rsid w:val="00577C8A"/>
    <w:rsid w:val="00581B79"/>
    <w:rsid w:val="00582768"/>
    <w:rsid w:val="00583E6D"/>
    <w:rsid w:val="0058479E"/>
    <w:rsid w:val="00593650"/>
    <w:rsid w:val="00593910"/>
    <w:rsid w:val="0059601F"/>
    <w:rsid w:val="005A0867"/>
    <w:rsid w:val="005A2D58"/>
    <w:rsid w:val="005A5565"/>
    <w:rsid w:val="005A57FA"/>
    <w:rsid w:val="005A64D1"/>
    <w:rsid w:val="005B42F9"/>
    <w:rsid w:val="005B488D"/>
    <w:rsid w:val="005B5432"/>
    <w:rsid w:val="005B604B"/>
    <w:rsid w:val="005C33DA"/>
    <w:rsid w:val="005C47EA"/>
    <w:rsid w:val="005C5342"/>
    <w:rsid w:val="005D0FF8"/>
    <w:rsid w:val="005D29B9"/>
    <w:rsid w:val="005D48B7"/>
    <w:rsid w:val="005F5970"/>
    <w:rsid w:val="005F7DED"/>
    <w:rsid w:val="006007DE"/>
    <w:rsid w:val="006051A9"/>
    <w:rsid w:val="006055C3"/>
    <w:rsid w:val="00605E12"/>
    <w:rsid w:val="00605E23"/>
    <w:rsid w:val="00607A7D"/>
    <w:rsid w:val="0061035D"/>
    <w:rsid w:val="00610419"/>
    <w:rsid w:val="006141DE"/>
    <w:rsid w:val="00616312"/>
    <w:rsid w:val="006207B6"/>
    <w:rsid w:val="00625720"/>
    <w:rsid w:val="00631CF4"/>
    <w:rsid w:val="006350E3"/>
    <w:rsid w:val="00644C62"/>
    <w:rsid w:val="00646760"/>
    <w:rsid w:val="00660C60"/>
    <w:rsid w:val="00661A96"/>
    <w:rsid w:val="00680CC7"/>
    <w:rsid w:val="006817E9"/>
    <w:rsid w:val="00687C3C"/>
    <w:rsid w:val="00687F5A"/>
    <w:rsid w:val="00690D0B"/>
    <w:rsid w:val="006A5C4A"/>
    <w:rsid w:val="006A69C3"/>
    <w:rsid w:val="006B1A20"/>
    <w:rsid w:val="006B1AC3"/>
    <w:rsid w:val="006B1C04"/>
    <w:rsid w:val="006B27AA"/>
    <w:rsid w:val="006B3B5C"/>
    <w:rsid w:val="006B50E5"/>
    <w:rsid w:val="006B5AF9"/>
    <w:rsid w:val="006C238A"/>
    <w:rsid w:val="006C386D"/>
    <w:rsid w:val="006C5B26"/>
    <w:rsid w:val="006D3336"/>
    <w:rsid w:val="006D53B6"/>
    <w:rsid w:val="006E1F5F"/>
    <w:rsid w:val="006E4296"/>
    <w:rsid w:val="006E6403"/>
    <w:rsid w:val="006E6EAF"/>
    <w:rsid w:val="006F3907"/>
    <w:rsid w:val="006F3BB1"/>
    <w:rsid w:val="006F4492"/>
    <w:rsid w:val="006F508C"/>
    <w:rsid w:val="006F607E"/>
    <w:rsid w:val="006F6D51"/>
    <w:rsid w:val="00700C7E"/>
    <w:rsid w:val="0070331C"/>
    <w:rsid w:val="007074B9"/>
    <w:rsid w:val="00711157"/>
    <w:rsid w:val="00712F08"/>
    <w:rsid w:val="00713BA7"/>
    <w:rsid w:val="007146EB"/>
    <w:rsid w:val="00715AF0"/>
    <w:rsid w:val="0071614C"/>
    <w:rsid w:val="00725DF3"/>
    <w:rsid w:val="007302BB"/>
    <w:rsid w:val="00736130"/>
    <w:rsid w:val="0073680C"/>
    <w:rsid w:val="00740ABE"/>
    <w:rsid w:val="00743A5B"/>
    <w:rsid w:val="00746025"/>
    <w:rsid w:val="0075201B"/>
    <w:rsid w:val="00761411"/>
    <w:rsid w:val="007619CE"/>
    <w:rsid w:val="0076250C"/>
    <w:rsid w:val="00762F35"/>
    <w:rsid w:val="00764C25"/>
    <w:rsid w:val="00765E30"/>
    <w:rsid w:val="0077392C"/>
    <w:rsid w:val="007754EB"/>
    <w:rsid w:val="00777FAC"/>
    <w:rsid w:val="00784376"/>
    <w:rsid w:val="007847D4"/>
    <w:rsid w:val="00786C0F"/>
    <w:rsid w:val="00787759"/>
    <w:rsid w:val="00790ABD"/>
    <w:rsid w:val="00792BB8"/>
    <w:rsid w:val="00795D34"/>
    <w:rsid w:val="007970A7"/>
    <w:rsid w:val="0079759A"/>
    <w:rsid w:val="007979EE"/>
    <w:rsid w:val="007A0280"/>
    <w:rsid w:val="007A431A"/>
    <w:rsid w:val="007A485D"/>
    <w:rsid w:val="007B229E"/>
    <w:rsid w:val="007B4134"/>
    <w:rsid w:val="007B49C1"/>
    <w:rsid w:val="007B7190"/>
    <w:rsid w:val="007C3A7F"/>
    <w:rsid w:val="007C3EF6"/>
    <w:rsid w:val="007C5ED7"/>
    <w:rsid w:val="007D28D8"/>
    <w:rsid w:val="007D6483"/>
    <w:rsid w:val="007E0A4B"/>
    <w:rsid w:val="007E1BFD"/>
    <w:rsid w:val="007E2875"/>
    <w:rsid w:val="007E3133"/>
    <w:rsid w:val="007E42D8"/>
    <w:rsid w:val="007E5CA1"/>
    <w:rsid w:val="007E6020"/>
    <w:rsid w:val="007E6467"/>
    <w:rsid w:val="007E64B8"/>
    <w:rsid w:val="007E7999"/>
    <w:rsid w:val="007F31B7"/>
    <w:rsid w:val="007F42CA"/>
    <w:rsid w:val="007F44F6"/>
    <w:rsid w:val="007F4AD2"/>
    <w:rsid w:val="007F6966"/>
    <w:rsid w:val="007F7861"/>
    <w:rsid w:val="007F7E1C"/>
    <w:rsid w:val="008006B5"/>
    <w:rsid w:val="00802595"/>
    <w:rsid w:val="00804B81"/>
    <w:rsid w:val="00805C51"/>
    <w:rsid w:val="008106B4"/>
    <w:rsid w:val="00812B62"/>
    <w:rsid w:val="0081337E"/>
    <w:rsid w:val="00814095"/>
    <w:rsid w:val="00817A0C"/>
    <w:rsid w:val="00820C2A"/>
    <w:rsid w:val="00824ED6"/>
    <w:rsid w:val="00833040"/>
    <w:rsid w:val="00833845"/>
    <w:rsid w:val="00834D49"/>
    <w:rsid w:val="00836698"/>
    <w:rsid w:val="00836B72"/>
    <w:rsid w:val="0084115F"/>
    <w:rsid w:val="00843EBB"/>
    <w:rsid w:val="00845FF1"/>
    <w:rsid w:val="0085072C"/>
    <w:rsid w:val="00854D8F"/>
    <w:rsid w:val="00863295"/>
    <w:rsid w:val="0086460C"/>
    <w:rsid w:val="00865B00"/>
    <w:rsid w:val="00870514"/>
    <w:rsid w:val="00872043"/>
    <w:rsid w:val="00883DE7"/>
    <w:rsid w:val="00886783"/>
    <w:rsid w:val="00887CBC"/>
    <w:rsid w:val="00890606"/>
    <w:rsid w:val="0089298D"/>
    <w:rsid w:val="00896997"/>
    <w:rsid w:val="008A14E2"/>
    <w:rsid w:val="008A2621"/>
    <w:rsid w:val="008A431E"/>
    <w:rsid w:val="008A6B1C"/>
    <w:rsid w:val="008B286B"/>
    <w:rsid w:val="008B7C1A"/>
    <w:rsid w:val="008C4861"/>
    <w:rsid w:val="008C59C6"/>
    <w:rsid w:val="008C5F66"/>
    <w:rsid w:val="008D2520"/>
    <w:rsid w:val="008D3333"/>
    <w:rsid w:val="008D33A0"/>
    <w:rsid w:val="008D3F14"/>
    <w:rsid w:val="008D5DF6"/>
    <w:rsid w:val="008D7198"/>
    <w:rsid w:val="008E35E1"/>
    <w:rsid w:val="008E3CB7"/>
    <w:rsid w:val="008E5A0B"/>
    <w:rsid w:val="008E77B3"/>
    <w:rsid w:val="008F5262"/>
    <w:rsid w:val="008F5C1D"/>
    <w:rsid w:val="008F7299"/>
    <w:rsid w:val="00900019"/>
    <w:rsid w:val="00901B82"/>
    <w:rsid w:val="009034F0"/>
    <w:rsid w:val="00903EB0"/>
    <w:rsid w:val="0090458D"/>
    <w:rsid w:val="00904D96"/>
    <w:rsid w:val="00911A21"/>
    <w:rsid w:val="00911A52"/>
    <w:rsid w:val="009129A5"/>
    <w:rsid w:val="00913D53"/>
    <w:rsid w:val="009144F8"/>
    <w:rsid w:val="009171C1"/>
    <w:rsid w:val="00923591"/>
    <w:rsid w:val="00923F98"/>
    <w:rsid w:val="009304EB"/>
    <w:rsid w:val="00930626"/>
    <w:rsid w:val="009316BF"/>
    <w:rsid w:val="009346B0"/>
    <w:rsid w:val="009376EA"/>
    <w:rsid w:val="00944A79"/>
    <w:rsid w:val="00946AC1"/>
    <w:rsid w:val="00950906"/>
    <w:rsid w:val="009513F1"/>
    <w:rsid w:val="009525F3"/>
    <w:rsid w:val="00952FF3"/>
    <w:rsid w:val="0095678B"/>
    <w:rsid w:val="00957370"/>
    <w:rsid w:val="009573D5"/>
    <w:rsid w:val="00962C2F"/>
    <w:rsid w:val="00967F95"/>
    <w:rsid w:val="0097345E"/>
    <w:rsid w:val="00976EC6"/>
    <w:rsid w:val="0097701D"/>
    <w:rsid w:val="00977CEA"/>
    <w:rsid w:val="00982811"/>
    <w:rsid w:val="009858AF"/>
    <w:rsid w:val="00985A20"/>
    <w:rsid w:val="009944F8"/>
    <w:rsid w:val="00996123"/>
    <w:rsid w:val="009A29FC"/>
    <w:rsid w:val="009A2C91"/>
    <w:rsid w:val="009A3517"/>
    <w:rsid w:val="009A5616"/>
    <w:rsid w:val="009A6681"/>
    <w:rsid w:val="009B576A"/>
    <w:rsid w:val="009B7DFB"/>
    <w:rsid w:val="009C2F86"/>
    <w:rsid w:val="009C7506"/>
    <w:rsid w:val="009C7E96"/>
    <w:rsid w:val="009D7A18"/>
    <w:rsid w:val="009E6B9A"/>
    <w:rsid w:val="009F66CE"/>
    <w:rsid w:val="009F722F"/>
    <w:rsid w:val="00A0558C"/>
    <w:rsid w:val="00A10986"/>
    <w:rsid w:val="00A14ABD"/>
    <w:rsid w:val="00A1564F"/>
    <w:rsid w:val="00A15DD5"/>
    <w:rsid w:val="00A239C8"/>
    <w:rsid w:val="00A247E6"/>
    <w:rsid w:val="00A2546E"/>
    <w:rsid w:val="00A3192D"/>
    <w:rsid w:val="00A373E0"/>
    <w:rsid w:val="00A3746D"/>
    <w:rsid w:val="00A40DD3"/>
    <w:rsid w:val="00A42294"/>
    <w:rsid w:val="00A46F83"/>
    <w:rsid w:val="00A51539"/>
    <w:rsid w:val="00A51570"/>
    <w:rsid w:val="00A560F7"/>
    <w:rsid w:val="00A57854"/>
    <w:rsid w:val="00A578DD"/>
    <w:rsid w:val="00A60026"/>
    <w:rsid w:val="00A6052E"/>
    <w:rsid w:val="00A6183F"/>
    <w:rsid w:val="00A64FDF"/>
    <w:rsid w:val="00A65C7C"/>
    <w:rsid w:val="00A666EF"/>
    <w:rsid w:val="00A67304"/>
    <w:rsid w:val="00A721A7"/>
    <w:rsid w:val="00A727A2"/>
    <w:rsid w:val="00A7424B"/>
    <w:rsid w:val="00A752C8"/>
    <w:rsid w:val="00A7685E"/>
    <w:rsid w:val="00A81734"/>
    <w:rsid w:val="00A81BC1"/>
    <w:rsid w:val="00A90752"/>
    <w:rsid w:val="00A944BF"/>
    <w:rsid w:val="00A94CF4"/>
    <w:rsid w:val="00A95A12"/>
    <w:rsid w:val="00AA66AB"/>
    <w:rsid w:val="00AB613E"/>
    <w:rsid w:val="00AC3C88"/>
    <w:rsid w:val="00AD1D51"/>
    <w:rsid w:val="00AD29A4"/>
    <w:rsid w:val="00AD3661"/>
    <w:rsid w:val="00AD3E1C"/>
    <w:rsid w:val="00AD75C1"/>
    <w:rsid w:val="00AE1646"/>
    <w:rsid w:val="00AE1B5A"/>
    <w:rsid w:val="00AE1E41"/>
    <w:rsid w:val="00AE5615"/>
    <w:rsid w:val="00AF07A5"/>
    <w:rsid w:val="00AF3D75"/>
    <w:rsid w:val="00AF71F7"/>
    <w:rsid w:val="00AF7765"/>
    <w:rsid w:val="00B01740"/>
    <w:rsid w:val="00B026E1"/>
    <w:rsid w:val="00B02D42"/>
    <w:rsid w:val="00B04920"/>
    <w:rsid w:val="00B04E0C"/>
    <w:rsid w:val="00B059AE"/>
    <w:rsid w:val="00B05C26"/>
    <w:rsid w:val="00B05CFA"/>
    <w:rsid w:val="00B06361"/>
    <w:rsid w:val="00B11856"/>
    <w:rsid w:val="00B13BEA"/>
    <w:rsid w:val="00B15FF1"/>
    <w:rsid w:val="00B166FA"/>
    <w:rsid w:val="00B172EA"/>
    <w:rsid w:val="00B2097A"/>
    <w:rsid w:val="00B22121"/>
    <w:rsid w:val="00B23E26"/>
    <w:rsid w:val="00B24E24"/>
    <w:rsid w:val="00B312F2"/>
    <w:rsid w:val="00B32986"/>
    <w:rsid w:val="00B34461"/>
    <w:rsid w:val="00B35DB1"/>
    <w:rsid w:val="00B409E9"/>
    <w:rsid w:val="00B416D9"/>
    <w:rsid w:val="00B46372"/>
    <w:rsid w:val="00B5031D"/>
    <w:rsid w:val="00B5055C"/>
    <w:rsid w:val="00B50CAE"/>
    <w:rsid w:val="00B557F5"/>
    <w:rsid w:val="00B6003F"/>
    <w:rsid w:val="00B6531B"/>
    <w:rsid w:val="00B656FD"/>
    <w:rsid w:val="00B702AE"/>
    <w:rsid w:val="00B70757"/>
    <w:rsid w:val="00B75315"/>
    <w:rsid w:val="00B770B0"/>
    <w:rsid w:val="00B770E4"/>
    <w:rsid w:val="00B80738"/>
    <w:rsid w:val="00B831D0"/>
    <w:rsid w:val="00B83799"/>
    <w:rsid w:val="00B86063"/>
    <w:rsid w:val="00B866D5"/>
    <w:rsid w:val="00B903F7"/>
    <w:rsid w:val="00B9382B"/>
    <w:rsid w:val="00B95CD2"/>
    <w:rsid w:val="00B96F73"/>
    <w:rsid w:val="00BA327F"/>
    <w:rsid w:val="00BA4108"/>
    <w:rsid w:val="00BA61DC"/>
    <w:rsid w:val="00BA6D9F"/>
    <w:rsid w:val="00BA79AB"/>
    <w:rsid w:val="00BB02CF"/>
    <w:rsid w:val="00BB0818"/>
    <w:rsid w:val="00BB0B86"/>
    <w:rsid w:val="00BB740A"/>
    <w:rsid w:val="00BC05F9"/>
    <w:rsid w:val="00BC1410"/>
    <w:rsid w:val="00BC2521"/>
    <w:rsid w:val="00BC39C9"/>
    <w:rsid w:val="00BC3D52"/>
    <w:rsid w:val="00BC5D28"/>
    <w:rsid w:val="00BD2CFA"/>
    <w:rsid w:val="00BD3802"/>
    <w:rsid w:val="00BD4834"/>
    <w:rsid w:val="00BE1793"/>
    <w:rsid w:val="00BE4B43"/>
    <w:rsid w:val="00BE5CF4"/>
    <w:rsid w:val="00BE6BC6"/>
    <w:rsid w:val="00BF19C8"/>
    <w:rsid w:val="00BF22F3"/>
    <w:rsid w:val="00C02755"/>
    <w:rsid w:val="00C032DE"/>
    <w:rsid w:val="00C0599C"/>
    <w:rsid w:val="00C07F1D"/>
    <w:rsid w:val="00C11B6E"/>
    <w:rsid w:val="00C135F9"/>
    <w:rsid w:val="00C16CEE"/>
    <w:rsid w:val="00C24AEB"/>
    <w:rsid w:val="00C2536A"/>
    <w:rsid w:val="00C31658"/>
    <w:rsid w:val="00C321F1"/>
    <w:rsid w:val="00C34A69"/>
    <w:rsid w:val="00C37113"/>
    <w:rsid w:val="00C4027D"/>
    <w:rsid w:val="00C40621"/>
    <w:rsid w:val="00C40F80"/>
    <w:rsid w:val="00C44853"/>
    <w:rsid w:val="00C44E35"/>
    <w:rsid w:val="00C50827"/>
    <w:rsid w:val="00C50F6F"/>
    <w:rsid w:val="00C5110D"/>
    <w:rsid w:val="00C5413E"/>
    <w:rsid w:val="00C5671D"/>
    <w:rsid w:val="00C572F0"/>
    <w:rsid w:val="00C735F7"/>
    <w:rsid w:val="00C744E0"/>
    <w:rsid w:val="00C74A5E"/>
    <w:rsid w:val="00C766B9"/>
    <w:rsid w:val="00C8407E"/>
    <w:rsid w:val="00C87366"/>
    <w:rsid w:val="00C9116E"/>
    <w:rsid w:val="00C9148C"/>
    <w:rsid w:val="00C91521"/>
    <w:rsid w:val="00C949CB"/>
    <w:rsid w:val="00C94CF5"/>
    <w:rsid w:val="00CA68E7"/>
    <w:rsid w:val="00CB043C"/>
    <w:rsid w:val="00CB1426"/>
    <w:rsid w:val="00CB7554"/>
    <w:rsid w:val="00CB7804"/>
    <w:rsid w:val="00CC2AE7"/>
    <w:rsid w:val="00CD1D38"/>
    <w:rsid w:val="00CD1FAB"/>
    <w:rsid w:val="00CD2472"/>
    <w:rsid w:val="00CD5BDC"/>
    <w:rsid w:val="00CD6DAD"/>
    <w:rsid w:val="00CD74A2"/>
    <w:rsid w:val="00CE08B2"/>
    <w:rsid w:val="00CE179B"/>
    <w:rsid w:val="00CE1946"/>
    <w:rsid w:val="00CE288E"/>
    <w:rsid w:val="00CE530E"/>
    <w:rsid w:val="00CE603E"/>
    <w:rsid w:val="00CF1A64"/>
    <w:rsid w:val="00CF6271"/>
    <w:rsid w:val="00CF6C4B"/>
    <w:rsid w:val="00CF72B7"/>
    <w:rsid w:val="00D032F2"/>
    <w:rsid w:val="00D1269B"/>
    <w:rsid w:val="00D13526"/>
    <w:rsid w:val="00D144A3"/>
    <w:rsid w:val="00D14BDD"/>
    <w:rsid w:val="00D14D53"/>
    <w:rsid w:val="00D1599A"/>
    <w:rsid w:val="00D2322D"/>
    <w:rsid w:val="00D300ED"/>
    <w:rsid w:val="00D31035"/>
    <w:rsid w:val="00D320B0"/>
    <w:rsid w:val="00D32237"/>
    <w:rsid w:val="00D37EAF"/>
    <w:rsid w:val="00D404F7"/>
    <w:rsid w:val="00D42CF8"/>
    <w:rsid w:val="00D43A67"/>
    <w:rsid w:val="00D4489D"/>
    <w:rsid w:val="00D44A65"/>
    <w:rsid w:val="00D452E9"/>
    <w:rsid w:val="00D46812"/>
    <w:rsid w:val="00D5312B"/>
    <w:rsid w:val="00D55B34"/>
    <w:rsid w:val="00D5784C"/>
    <w:rsid w:val="00D61EBA"/>
    <w:rsid w:val="00D6236F"/>
    <w:rsid w:val="00D647F5"/>
    <w:rsid w:val="00D66E87"/>
    <w:rsid w:val="00D67F0A"/>
    <w:rsid w:val="00D74022"/>
    <w:rsid w:val="00D770C4"/>
    <w:rsid w:val="00D83CD9"/>
    <w:rsid w:val="00D84160"/>
    <w:rsid w:val="00D8631E"/>
    <w:rsid w:val="00D86677"/>
    <w:rsid w:val="00D90F5A"/>
    <w:rsid w:val="00D937FA"/>
    <w:rsid w:val="00D93EDA"/>
    <w:rsid w:val="00DA169F"/>
    <w:rsid w:val="00DA2156"/>
    <w:rsid w:val="00DA3518"/>
    <w:rsid w:val="00DA4AD6"/>
    <w:rsid w:val="00DA6694"/>
    <w:rsid w:val="00DA6C19"/>
    <w:rsid w:val="00DB4581"/>
    <w:rsid w:val="00DC117F"/>
    <w:rsid w:val="00DC1FF8"/>
    <w:rsid w:val="00DC74C2"/>
    <w:rsid w:val="00DD744A"/>
    <w:rsid w:val="00DE0144"/>
    <w:rsid w:val="00DE1C0A"/>
    <w:rsid w:val="00DE46D0"/>
    <w:rsid w:val="00DE5D00"/>
    <w:rsid w:val="00DE632C"/>
    <w:rsid w:val="00DF00C9"/>
    <w:rsid w:val="00DF13A8"/>
    <w:rsid w:val="00DF244D"/>
    <w:rsid w:val="00DF4733"/>
    <w:rsid w:val="00DF50A5"/>
    <w:rsid w:val="00DF6295"/>
    <w:rsid w:val="00DF6973"/>
    <w:rsid w:val="00DF7470"/>
    <w:rsid w:val="00DF74F1"/>
    <w:rsid w:val="00DF7E5F"/>
    <w:rsid w:val="00E02732"/>
    <w:rsid w:val="00E07B50"/>
    <w:rsid w:val="00E116D3"/>
    <w:rsid w:val="00E13EF9"/>
    <w:rsid w:val="00E245C1"/>
    <w:rsid w:val="00E33819"/>
    <w:rsid w:val="00E34537"/>
    <w:rsid w:val="00E34FEF"/>
    <w:rsid w:val="00E35A29"/>
    <w:rsid w:val="00E35E63"/>
    <w:rsid w:val="00E45C54"/>
    <w:rsid w:val="00E46445"/>
    <w:rsid w:val="00E4775A"/>
    <w:rsid w:val="00E50A27"/>
    <w:rsid w:val="00E54F0F"/>
    <w:rsid w:val="00E60644"/>
    <w:rsid w:val="00E617D7"/>
    <w:rsid w:val="00E629F6"/>
    <w:rsid w:val="00E640B7"/>
    <w:rsid w:val="00E730AC"/>
    <w:rsid w:val="00E736DD"/>
    <w:rsid w:val="00E736EB"/>
    <w:rsid w:val="00E76C01"/>
    <w:rsid w:val="00E82B71"/>
    <w:rsid w:val="00E835D5"/>
    <w:rsid w:val="00E843D3"/>
    <w:rsid w:val="00E90F20"/>
    <w:rsid w:val="00E93320"/>
    <w:rsid w:val="00E94AE9"/>
    <w:rsid w:val="00EA2C22"/>
    <w:rsid w:val="00EA35BD"/>
    <w:rsid w:val="00EA5CCB"/>
    <w:rsid w:val="00EA7918"/>
    <w:rsid w:val="00EB3C5B"/>
    <w:rsid w:val="00ED3529"/>
    <w:rsid w:val="00ED5A86"/>
    <w:rsid w:val="00ED665A"/>
    <w:rsid w:val="00EE220F"/>
    <w:rsid w:val="00EE2231"/>
    <w:rsid w:val="00EE43CE"/>
    <w:rsid w:val="00EE596A"/>
    <w:rsid w:val="00EE6DCD"/>
    <w:rsid w:val="00EF1732"/>
    <w:rsid w:val="00EF5A97"/>
    <w:rsid w:val="00F0069C"/>
    <w:rsid w:val="00F02FD5"/>
    <w:rsid w:val="00F059B7"/>
    <w:rsid w:val="00F06A35"/>
    <w:rsid w:val="00F07F63"/>
    <w:rsid w:val="00F11F23"/>
    <w:rsid w:val="00F128BA"/>
    <w:rsid w:val="00F12954"/>
    <w:rsid w:val="00F14B1F"/>
    <w:rsid w:val="00F15C3B"/>
    <w:rsid w:val="00F15D7F"/>
    <w:rsid w:val="00F1792C"/>
    <w:rsid w:val="00F21840"/>
    <w:rsid w:val="00F22A31"/>
    <w:rsid w:val="00F254B4"/>
    <w:rsid w:val="00F2667D"/>
    <w:rsid w:val="00F31365"/>
    <w:rsid w:val="00F367E4"/>
    <w:rsid w:val="00F418AC"/>
    <w:rsid w:val="00F46930"/>
    <w:rsid w:val="00F51CD9"/>
    <w:rsid w:val="00F52426"/>
    <w:rsid w:val="00F53F8D"/>
    <w:rsid w:val="00F54312"/>
    <w:rsid w:val="00F55A33"/>
    <w:rsid w:val="00F6134A"/>
    <w:rsid w:val="00F72A00"/>
    <w:rsid w:val="00F74A48"/>
    <w:rsid w:val="00F76648"/>
    <w:rsid w:val="00F806EA"/>
    <w:rsid w:val="00F817E2"/>
    <w:rsid w:val="00F82814"/>
    <w:rsid w:val="00F857E7"/>
    <w:rsid w:val="00F96428"/>
    <w:rsid w:val="00F96B05"/>
    <w:rsid w:val="00F97E4C"/>
    <w:rsid w:val="00FA04D0"/>
    <w:rsid w:val="00FA50AC"/>
    <w:rsid w:val="00FA527C"/>
    <w:rsid w:val="00FA55FA"/>
    <w:rsid w:val="00FA68FB"/>
    <w:rsid w:val="00FA7F0B"/>
    <w:rsid w:val="00FB71A5"/>
    <w:rsid w:val="00FC13B8"/>
    <w:rsid w:val="00FC168A"/>
    <w:rsid w:val="00FC3AB4"/>
    <w:rsid w:val="00FD12F0"/>
    <w:rsid w:val="00FD20CE"/>
    <w:rsid w:val="00FD59EC"/>
    <w:rsid w:val="00FD651B"/>
    <w:rsid w:val="00FE01A0"/>
    <w:rsid w:val="00FE0B70"/>
    <w:rsid w:val="00FE1969"/>
    <w:rsid w:val="00FE7FEA"/>
    <w:rsid w:val="00FF5121"/>
    <w:rsid w:val="00FF698A"/>
    <w:rsid w:val="00FF7B74"/>
    <w:rsid w:val="67BB51EF"/>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5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7">
    <w:name w:val="列出段落1"/>
    <w:basedOn w:val="1"/>
    <w:uiPriority w:val="0"/>
    <w:pPr>
      <w:ind w:firstLine="420" w:firstLineChars="200"/>
    </w:pPr>
  </w:style>
  <w:style w:type="paragraph" w:customStyle="1" w:styleId="8">
    <w:name w:val="List Paragraph"/>
    <w:basedOn w:val="1"/>
    <w:qFormat/>
    <w:uiPriority w:val="34"/>
    <w:pPr>
      <w:ind w:firstLine="420" w:firstLineChars="200"/>
    </w:pPr>
  </w:style>
  <w:style w:type="character" w:customStyle="1" w:styleId="9">
    <w:name w:val="页眉 Char"/>
    <w:basedOn w:val="4"/>
    <w:link w:val="3"/>
    <w:qFormat/>
    <w:uiPriority w:val="99"/>
    <w:rPr>
      <w:rFonts w:ascii="Calibri" w:hAnsi="Calibri" w:eastAsia="宋体" w:cs="Calibri"/>
      <w:sz w:val="18"/>
      <w:szCs w:val="18"/>
    </w:rPr>
  </w:style>
  <w:style w:type="character" w:customStyle="1" w:styleId="10">
    <w:name w:val="页脚 Char"/>
    <w:basedOn w:val="4"/>
    <w:link w:val="2"/>
    <w:qFormat/>
    <w:uiPriority w:val="99"/>
    <w:rPr>
      <w:rFonts w:ascii="Calibri" w:hAnsi="Calibri" w:eastAsia="宋体" w:cs="Calibri"/>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446</Words>
  <Characters>2545</Characters>
  <Lines>21</Lines>
  <Paragraphs>5</Paragraphs>
  <TotalTime>0</TotalTime>
  <ScaleCrop>false</ScaleCrop>
  <LinksUpToDate>false</LinksUpToDate>
  <CharactersWithSpaces>2986</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2017-09-12T00:32:00Z</dcterms:created>
  <dc:creator>????</dc:creator>
  <cp:lastModifiedBy>Administrator</cp:lastModifiedBy>
  <dcterms:modified xsi:type="dcterms:W3CDTF">2017-09-30T02:47:59Z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