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01BA41">
      <w:pPr>
        <w:jc w:val="both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</w:pPr>
      <w:bookmarkStart w:id="26" w:name="_GoBack"/>
      <w:bookmarkStart w:id="0" w:name="_Toc47807373"/>
      <w:bookmarkStart w:id="1" w:name="_Toc500249342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6</w:t>
      </w:r>
    </w:p>
    <w:bookmarkEnd w:id="26"/>
    <w:p w14:paraId="275342EE">
      <w:pPr>
        <w:jc w:val="center"/>
        <w:rPr>
          <w:b/>
          <w:sz w:val="36"/>
        </w:rPr>
      </w:pPr>
    </w:p>
    <w:p w14:paraId="403B6CD8">
      <w:pPr>
        <w:jc w:val="center"/>
        <w:rPr>
          <w:b/>
          <w:sz w:val="36"/>
        </w:rPr>
      </w:pPr>
    </w:p>
    <w:p w14:paraId="42CB5FC7">
      <w:pPr>
        <w:jc w:val="center"/>
        <w:rPr>
          <w:b/>
          <w:sz w:val="36"/>
        </w:rPr>
      </w:pPr>
    </w:p>
    <w:p w14:paraId="74327F46">
      <w:pPr>
        <w:spacing w:line="240" w:lineRule="auto"/>
        <w:jc w:val="center"/>
        <w:rPr>
          <w:rFonts w:ascii="黑体" w:hAnsi="黑体" w:eastAsia="黑体"/>
          <w:b/>
          <w:kern w:val="0"/>
          <w:sz w:val="52"/>
          <w:szCs w:val="52"/>
        </w:rPr>
      </w:pPr>
      <w:r>
        <w:rPr>
          <w:rFonts w:hint="eastAsia" w:ascii="黑体" w:hAnsi="黑体" w:eastAsia="黑体"/>
          <w:b/>
          <w:kern w:val="0"/>
          <w:sz w:val="52"/>
          <w:szCs w:val="52"/>
        </w:rPr>
        <w:t>云南省公共资源交易平台</w:t>
      </w:r>
    </w:p>
    <w:p w14:paraId="0F262FCF">
      <w:pPr>
        <w:spacing w:line="240" w:lineRule="auto"/>
        <w:jc w:val="center"/>
        <w:rPr>
          <w:rFonts w:hint="eastAsia" w:ascii="黑体" w:hAnsi="黑体" w:eastAsia="黑体"/>
          <w:b/>
          <w:kern w:val="0"/>
          <w:sz w:val="52"/>
          <w:szCs w:val="52"/>
        </w:rPr>
      </w:pPr>
      <w:r>
        <w:rPr>
          <w:rFonts w:hint="eastAsia" w:ascii="黑体" w:hAnsi="黑体" w:eastAsia="黑体"/>
          <w:b/>
          <w:kern w:val="0"/>
          <w:sz w:val="52"/>
          <w:szCs w:val="52"/>
        </w:rPr>
        <w:t>在线签订合同操作手册</w:t>
      </w:r>
    </w:p>
    <w:p w14:paraId="4704DBDC">
      <w:pPr>
        <w:jc w:val="center"/>
        <w:rPr>
          <w:b/>
          <w:sz w:val="36"/>
        </w:rPr>
      </w:pPr>
    </w:p>
    <w:p w14:paraId="20736196">
      <w:pPr>
        <w:jc w:val="center"/>
        <w:rPr>
          <w:b/>
          <w:sz w:val="44"/>
        </w:rPr>
      </w:pPr>
    </w:p>
    <w:p w14:paraId="05738918">
      <w:pPr>
        <w:jc w:val="center"/>
        <w:rPr>
          <w:b/>
          <w:sz w:val="36"/>
        </w:rPr>
      </w:pPr>
    </w:p>
    <w:p w14:paraId="3C5F09C7">
      <w:pPr>
        <w:jc w:val="center"/>
        <w:rPr>
          <w:b/>
          <w:sz w:val="36"/>
        </w:rPr>
      </w:pPr>
    </w:p>
    <w:p w14:paraId="2506E9A4">
      <w:pPr>
        <w:jc w:val="center"/>
        <w:rPr>
          <w:b/>
          <w:sz w:val="36"/>
        </w:rPr>
      </w:pPr>
    </w:p>
    <w:p w14:paraId="153E03F5">
      <w:pPr>
        <w:jc w:val="center"/>
        <w:rPr>
          <w:b/>
          <w:sz w:val="36"/>
        </w:rPr>
      </w:pPr>
    </w:p>
    <w:p w14:paraId="072A9D82">
      <w:pPr>
        <w:jc w:val="center"/>
        <w:rPr>
          <w:b/>
          <w:sz w:val="36"/>
        </w:rPr>
      </w:pPr>
    </w:p>
    <w:p w14:paraId="08E92CFE">
      <w:pPr>
        <w:jc w:val="center"/>
        <w:rPr>
          <w:b/>
          <w:sz w:val="36"/>
        </w:rPr>
      </w:pPr>
    </w:p>
    <w:p w14:paraId="746FB88E">
      <w:pPr>
        <w:jc w:val="center"/>
        <w:rPr>
          <w:b/>
          <w:sz w:val="36"/>
        </w:rPr>
      </w:pPr>
    </w:p>
    <w:p w14:paraId="7D0806D5">
      <w:pPr>
        <w:jc w:val="center"/>
        <w:rPr>
          <w:b/>
          <w:sz w:val="36"/>
        </w:rPr>
      </w:pPr>
    </w:p>
    <w:p w14:paraId="37FB2545">
      <w:pPr>
        <w:spacing w:line="240" w:lineRule="auto"/>
        <w:jc w:val="center"/>
        <w:rPr>
          <w:rFonts w:hint="eastAsia" w:ascii="黑体" w:hAnsi="黑体" w:eastAsia="黑体"/>
          <w:b/>
          <w:sz w:val="36"/>
          <w:szCs w:val="24"/>
        </w:rPr>
      </w:pPr>
      <w:r>
        <w:rPr>
          <w:rFonts w:hint="eastAsia" w:ascii="黑体" w:hAnsi="黑体" w:eastAsia="黑体"/>
          <w:b/>
          <w:sz w:val="36"/>
          <w:szCs w:val="24"/>
        </w:rPr>
        <w:t>北京筑龙信息技术有限责任公司</w:t>
      </w:r>
    </w:p>
    <w:p w14:paraId="38D1A6B4">
      <w:pPr>
        <w:spacing w:line="240" w:lineRule="auto"/>
        <w:jc w:val="center"/>
        <w:rPr>
          <w:rFonts w:hint="eastAsia" w:ascii="黑体" w:hAnsi="黑体" w:eastAsia="黑体"/>
          <w:sz w:val="32"/>
          <w:szCs w:val="24"/>
        </w:rPr>
      </w:pPr>
      <w:r>
        <w:rPr>
          <w:rFonts w:ascii="黑体" w:hAnsi="黑体" w:eastAsia="黑体"/>
          <w:sz w:val="32"/>
          <w:szCs w:val="24"/>
        </w:rPr>
        <w:t>202</w:t>
      </w:r>
      <w:r>
        <w:rPr>
          <w:rFonts w:hint="eastAsia" w:ascii="黑体" w:hAnsi="黑体" w:eastAsia="黑体"/>
          <w:sz w:val="32"/>
          <w:szCs w:val="24"/>
        </w:rPr>
        <w:t>4</w:t>
      </w:r>
      <w:r>
        <w:rPr>
          <w:rFonts w:ascii="黑体" w:hAnsi="黑体" w:eastAsia="黑体"/>
          <w:sz w:val="32"/>
          <w:szCs w:val="24"/>
        </w:rPr>
        <w:t>年</w:t>
      </w:r>
      <w:r>
        <w:rPr>
          <w:rFonts w:hint="eastAsia" w:ascii="黑体" w:hAnsi="黑体" w:eastAsia="黑体"/>
          <w:sz w:val="32"/>
          <w:szCs w:val="24"/>
        </w:rPr>
        <w:t>9</w:t>
      </w:r>
      <w:r>
        <w:rPr>
          <w:rFonts w:ascii="黑体" w:hAnsi="黑体" w:eastAsia="黑体"/>
          <w:sz w:val="32"/>
          <w:szCs w:val="24"/>
        </w:rPr>
        <w:t>月</w:t>
      </w:r>
    </w:p>
    <w:p w14:paraId="5DF50AAD">
      <w:pPr>
        <w:spacing w:line="240" w:lineRule="auto"/>
        <w:rPr>
          <w:rFonts w:hint="eastAsia" w:ascii="黑体" w:hAnsi="黑体" w:eastAsia="黑体"/>
          <w:sz w:val="32"/>
          <w:szCs w:val="24"/>
        </w:rPr>
      </w:pPr>
    </w:p>
    <w:p w14:paraId="1CA76D09">
      <w:pPr>
        <w:spacing w:line="240" w:lineRule="auto"/>
        <w:jc w:val="center"/>
        <w:rPr>
          <w:rFonts w:hint="eastAsia" w:ascii="黑体" w:hAnsi="黑体" w:eastAsia="黑体"/>
          <w:sz w:val="32"/>
          <w:szCs w:val="24"/>
        </w:rPr>
      </w:pPr>
    </w:p>
    <w:p w14:paraId="5E0EB21B">
      <w:pPr>
        <w:spacing w:line="240" w:lineRule="auto"/>
        <w:jc w:val="center"/>
        <w:rPr>
          <w:rFonts w:hint="eastAsia" w:ascii="宋体" w:hAnsi="宋体" w:eastAsia="宋体"/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/>
          <w:sz w:val="21"/>
        </w:rPr>
        <w:id w:val="147450910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sz w:val="24"/>
        </w:rPr>
      </w:sdtEndPr>
      <w:sdtContent>
        <w:p w14:paraId="74D3ACB8">
          <w:pPr>
            <w:spacing w:line="240" w:lineRule="auto"/>
            <w:jc w:val="center"/>
          </w:pP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目录</w:t>
          </w:r>
        </w:p>
        <w:p w14:paraId="7795F2CC">
          <w:pPr>
            <w:pStyle w:val="16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fldChar w:fldCharType="begin"/>
          </w:r>
          <w:r>
            <w:instrText xml:space="preserve"> HYPERLINK \l "_Toc7437" </w:instrText>
          </w:r>
          <w:r>
            <w:fldChar w:fldCharType="separate"/>
          </w:r>
          <w:r>
            <w:rPr>
              <w:rFonts w:hint="eastAsia"/>
              <w:szCs w:val="32"/>
            </w:rPr>
            <w:t>1. 系统要求</w:t>
          </w:r>
          <w:r>
            <w:tab/>
          </w:r>
          <w:r>
            <w:fldChar w:fldCharType="begin"/>
          </w:r>
          <w:r>
            <w:instrText xml:space="preserve"> PAGEREF _Toc7437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E9061F0">
          <w:pPr>
            <w:pStyle w:val="17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"_Toc2496" </w:instrText>
          </w:r>
          <w:r>
            <w:fldChar w:fldCharType="separate"/>
          </w:r>
          <w:r>
            <w:rPr>
              <w:rFonts w:hint="eastAsia" w:ascii="仿宋_GB2312" w:eastAsia="仿宋_GB2312"/>
            </w:rPr>
            <w:t xml:space="preserve">1.1 </w:t>
          </w:r>
          <w:r>
            <w:rPr>
              <w:rFonts w:hint="eastAsia"/>
            </w:rPr>
            <w:t>设备要求</w:t>
          </w:r>
          <w:r>
            <w:tab/>
          </w:r>
          <w:r>
            <w:fldChar w:fldCharType="begin"/>
          </w:r>
          <w:r>
            <w:instrText xml:space="preserve"> PAGEREF _Toc2496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40A0856">
          <w:pPr>
            <w:pStyle w:val="17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"_Toc26387" </w:instrText>
          </w:r>
          <w:r>
            <w:fldChar w:fldCharType="separate"/>
          </w:r>
          <w:r>
            <w:rPr>
              <w:rFonts w:hint="eastAsia" w:ascii="仿宋_GB2312" w:eastAsia="仿宋_GB2312"/>
            </w:rPr>
            <w:t xml:space="preserve">1.2 </w:t>
          </w:r>
          <w:r>
            <w:rPr>
              <w:rFonts w:hint="eastAsia"/>
            </w:rPr>
            <w:t>支持软件</w:t>
          </w:r>
          <w:r>
            <w:tab/>
          </w:r>
          <w:r>
            <w:fldChar w:fldCharType="begin"/>
          </w:r>
          <w:r>
            <w:instrText xml:space="preserve"> PAGEREF _Toc26387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5FEE7E0B">
          <w:pPr>
            <w:pStyle w:val="16"/>
            <w:tabs>
              <w:tab w:val="right" w:leader="dot" w:pos="8306"/>
              <w:tab w:val="clear" w:pos="840"/>
              <w:tab w:val="clear" w:pos="8296"/>
            </w:tabs>
          </w:pPr>
          <w:r>
            <w:fldChar w:fldCharType="begin"/>
          </w:r>
          <w:r>
            <w:instrText xml:space="preserve"> HYPERLINK \l "_Toc12037" </w:instrText>
          </w:r>
          <w:r>
            <w:fldChar w:fldCharType="separate"/>
          </w:r>
          <w:r>
            <w:rPr>
              <w:rFonts w:hint="eastAsia"/>
              <w:szCs w:val="32"/>
            </w:rPr>
            <w:t>2. 系统登录及管理</w:t>
          </w:r>
          <w:r>
            <w:tab/>
          </w:r>
          <w:r>
            <w:fldChar w:fldCharType="begin"/>
          </w:r>
          <w:r>
            <w:instrText xml:space="preserve"> PAGEREF _Toc12037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5B664BAE">
          <w:pPr>
            <w:pStyle w:val="17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"_Toc6369" </w:instrText>
          </w:r>
          <w:r>
            <w:fldChar w:fldCharType="separate"/>
          </w:r>
          <w:r>
            <w:rPr>
              <w:rFonts w:hint="eastAsia" w:ascii="仿宋_GB2312" w:eastAsia="仿宋_GB2312"/>
            </w:rPr>
            <w:t xml:space="preserve">2.1 </w:t>
          </w:r>
          <w:r>
            <w:rPr>
              <w:rFonts w:hint="eastAsia"/>
            </w:rPr>
            <w:t>用户登陆</w:t>
          </w:r>
          <w:r>
            <w:tab/>
          </w:r>
          <w:r>
            <w:fldChar w:fldCharType="begin"/>
          </w:r>
          <w:r>
            <w:instrText xml:space="preserve"> PAGEREF _Toc6369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E722A53">
          <w:pPr>
            <w:pStyle w:val="17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"_Toc12773" </w:instrText>
          </w:r>
          <w:r>
            <w:fldChar w:fldCharType="separate"/>
          </w:r>
          <w:r>
            <w:rPr>
              <w:rFonts w:hint="eastAsia" w:ascii="仿宋_GB2312" w:eastAsia="仿宋_GB2312"/>
            </w:rPr>
            <w:t xml:space="preserve">2.2 </w:t>
          </w:r>
          <w:r>
            <w:rPr>
              <w:rFonts w:hint="eastAsia"/>
            </w:rPr>
            <w:t>添加部门</w:t>
          </w:r>
          <w:r>
            <w:tab/>
          </w:r>
          <w:r>
            <w:fldChar w:fldCharType="begin"/>
          </w:r>
          <w:r>
            <w:instrText xml:space="preserve"> PAGEREF _Toc12773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CCEA35E">
          <w:pPr>
            <w:pStyle w:val="17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"_Toc20484" </w:instrText>
          </w:r>
          <w:r>
            <w:fldChar w:fldCharType="separate"/>
          </w:r>
          <w:r>
            <w:rPr>
              <w:rFonts w:hint="eastAsia" w:ascii="仿宋_GB2312" w:eastAsia="仿宋_GB2312"/>
            </w:rPr>
            <w:t xml:space="preserve">2.3 </w:t>
          </w:r>
          <w:r>
            <w:rPr>
              <w:rFonts w:hint="eastAsia"/>
            </w:rPr>
            <w:t>添加用户</w:t>
          </w:r>
          <w:r>
            <w:tab/>
          </w:r>
          <w:r>
            <w:fldChar w:fldCharType="begin"/>
          </w:r>
          <w:r>
            <w:instrText xml:space="preserve"> PAGEREF _Toc20484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E5E38AC">
          <w:pPr>
            <w:pStyle w:val="17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"_Toc13137" </w:instrText>
          </w:r>
          <w:r>
            <w:fldChar w:fldCharType="separate"/>
          </w:r>
          <w:r>
            <w:rPr>
              <w:rFonts w:hint="eastAsia" w:ascii="仿宋_GB2312" w:eastAsia="仿宋_GB2312"/>
            </w:rPr>
            <w:t xml:space="preserve">2.4 </w:t>
          </w:r>
          <w:r>
            <w:rPr>
              <w:rFonts w:hint="eastAsia"/>
            </w:rPr>
            <w:t>审批流程管理</w:t>
          </w:r>
          <w:r>
            <w:tab/>
          </w:r>
          <w:r>
            <w:fldChar w:fldCharType="begin"/>
          </w:r>
          <w:r>
            <w:instrText xml:space="preserve"> PAGEREF _Toc13137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FB0EB23">
          <w:pPr>
            <w:pStyle w:val="16"/>
            <w:tabs>
              <w:tab w:val="right" w:leader="dot" w:pos="8306"/>
              <w:tab w:val="clear" w:pos="840"/>
              <w:tab w:val="clear" w:pos="8296"/>
            </w:tabs>
          </w:pPr>
          <w:r>
            <w:fldChar w:fldCharType="begin"/>
          </w:r>
          <w:r>
            <w:instrText xml:space="preserve"> HYPERLINK \l "_Toc9436" </w:instrText>
          </w:r>
          <w:r>
            <w:fldChar w:fldCharType="separate"/>
          </w:r>
          <w:r>
            <w:rPr>
              <w:rFonts w:hint="eastAsia"/>
              <w:szCs w:val="32"/>
            </w:rPr>
            <w:t>3. 合同管理</w:t>
          </w:r>
          <w:r>
            <w:tab/>
          </w:r>
          <w:r>
            <w:fldChar w:fldCharType="begin"/>
          </w:r>
          <w:r>
            <w:instrText xml:space="preserve"> PAGEREF _Toc9436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61397095">
          <w:pPr>
            <w:pStyle w:val="17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"_Toc16535" </w:instrText>
          </w:r>
          <w:r>
            <w:fldChar w:fldCharType="separate"/>
          </w:r>
          <w:r>
            <w:rPr>
              <w:rFonts w:hint="eastAsia" w:ascii="仿宋_GB2312" w:eastAsia="仿宋_GB2312"/>
            </w:rPr>
            <w:t xml:space="preserve">3.2 </w:t>
          </w:r>
          <w:r>
            <w:rPr>
              <w:rFonts w:hint="eastAsia"/>
            </w:rPr>
            <w:t>合同模板</w:t>
          </w:r>
          <w:r>
            <w:tab/>
          </w:r>
          <w:r>
            <w:fldChar w:fldCharType="begin"/>
          </w:r>
          <w:r>
            <w:instrText xml:space="preserve"> PAGEREF _Toc16535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73A10048">
          <w:pPr>
            <w:pStyle w:val="17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"_Toc5184" </w:instrText>
          </w:r>
          <w:r>
            <w:fldChar w:fldCharType="separate"/>
          </w:r>
          <w:r>
            <w:rPr>
              <w:rFonts w:hint="eastAsia" w:ascii="仿宋_GB2312" w:eastAsia="仿宋_GB2312"/>
            </w:rPr>
            <w:t xml:space="preserve">3.3 </w:t>
          </w:r>
          <w:r>
            <w:rPr>
              <w:rFonts w:hint="eastAsia"/>
            </w:rPr>
            <w:t>合同创建</w:t>
          </w:r>
          <w:r>
            <w:tab/>
          </w:r>
          <w:r>
            <w:fldChar w:fldCharType="begin"/>
          </w:r>
          <w:r>
            <w:instrText xml:space="preserve"> PAGEREF _Toc5184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294C98A">
          <w:pPr>
            <w:pStyle w:val="17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"_Toc31980" </w:instrText>
          </w:r>
          <w:r>
            <w:fldChar w:fldCharType="separate"/>
          </w:r>
          <w:r>
            <w:rPr>
              <w:rFonts w:hint="eastAsia" w:ascii="仿宋_GB2312" w:eastAsia="仿宋_GB2312"/>
            </w:rPr>
            <w:t xml:space="preserve">3.4 </w:t>
          </w:r>
          <w:r>
            <w:rPr>
              <w:rFonts w:hint="eastAsia"/>
            </w:rPr>
            <w:t>合同签订</w:t>
          </w:r>
          <w:r>
            <w:tab/>
          </w:r>
          <w:r>
            <w:fldChar w:fldCharType="begin"/>
          </w:r>
          <w:r>
            <w:instrText xml:space="preserve"> PAGEREF _Toc31980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21045E85">
          <w:pPr>
            <w:pStyle w:val="17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"_Toc20323" </w:instrText>
          </w:r>
          <w:r>
            <w:fldChar w:fldCharType="separate"/>
          </w:r>
          <w:r>
            <w:rPr>
              <w:rFonts w:hint="eastAsia" w:ascii="仿宋_GB2312" w:eastAsia="仿宋_GB2312"/>
            </w:rPr>
            <w:t xml:space="preserve">3.5 </w:t>
          </w:r>
          <w:r>
            <w:rPr>
              <w:rFonts w:hint="eastAsia"/>
            </w:rPr>
            <w:t>合同归档</w:t>
          </w:r>
          <w:r>
            <w:tab/>
          </w:r>
          <w:r>
            <w:fldChar w:fldCharType="begin"/>
          </w:r>
          <w:r>
            <w:instrText xml:space="preserve"> PAGEREF _Toc20323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3FAACE50">
          <w:r>
            <w:rPr>
              <w:rFonts w:hint="eastAsia" w:ascii="仿宋_GB2312" w:eastAsia="仿宋_GB2312"/>
              <w:szCs w:val="28"/>
            </w:rPr>
            <w:fldChar w:fldCharType="end"/>
          </w:r>
        </w:p>
      </w:sdtContent>
    </w:sdt>
    <w:p w14:paraId="16B9B42C">
      <w:pPr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br w:type="page"/>
      </w:r>
    </w:p>
    <w:p w14:paraId="6D41BF0B">
      <w:pPr>
        <w:spacing w:before="100" w:beforeAutospacing="1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系统使用要求</w:t>
      </w:r>
    </w:p>
    <w:p w14:paraId="0E4AF8A5">
      <w:pPr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1、适用系统：云南省公共资源交易系统。</w:t>
      </w:r>
    </w:p>
    <w:p w14:paraId="6D3177ED">
      <w:pPr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2、运行本系统时，须连接Internet。</w:t>
      </w:r>
    </w:p>
    <w:p w14:paraId="1DD2C2D3">
      <w:pPr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3、下载并安装云南省公共资源交易平台的驱动程序。</w:t>
      </w:r>
    </w:p>
    <w:p w14:paraId="3988D8B7">
      <w:pPr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4、支持软件：推荐使用360浏览器和Google </w:t>
      </w:r>
      <w:r>
        <w:rPr>
          <w:rFonts w:hint="eastAsia" w:ascii="仿宋_GB2312" w:hAnsi="宋体" w:eastAsia="仿宋_GB2312" w:cs="宋体"/>
          <w:sz w:val="28"/>
          <w:szCs w:val="28"/>
        </w:rPr>
        <w:t>Chrome</w:t>
      </w:r>
      <w:r>
        <w:rPr>
          <w:rFonts w:hint="eastAsia" w:ascii="仿宋_GB2312" w:hAnsi="仿宋" w:eastAsia="仿宋_GB2312"/>
          <w:sz w:val="28"/>
          <w:szCs w:val="28"/>
        </w:rPr>
        <w:t>浏览器。</w:t>
      </w:r>
    </w:p>
    <w:p w14:paraId="51EEC9EF">
      <w:pPr>
        <w:rPr>
          <w:rFonts w:hint="eastAsia" w:ascii="仿宋" w:hAnsi="仿宋" w:eastAsia="仿宋"/>
          <w:sz w:val="32"/>
          <w:szCs w:val="32"/>
        </w:rPr>
      </w:pPr>
    </w:p>
    <w:p w14:paraId="50C5AD6A">
      <w:pPr>
        <w:spacing w:line="240" w:lineRule="auto"/>
        <w:jc w:val="center"/>
        <w:rPr>
          <w:rFonts w:hint="eastAsia" w:ascii="黑体" w:hAnsi="黑体" w:eastAsia="黑体"/>
          <w:sz w:val="32"/>
          <w:szCs w:val="24"/>
        </w:rPr>
      </w:pPr>
    </w:p>
    <w:p w14:paraId="4A9AA24F">
      <w:pPr>
        <w:spacing w:line="240" w:lineRule="auto"/>
        <w:jc w:val="center"/>
        <w:rPr>
          <w:rFonts w:hint="eastAsia" w:ascii="黑体" w:hAnsi="黑体" w:eastAsia="黑体"/>
          <w:sz w:val="32"/>
          <w:szCs w:val="24"/>
        </w:rPr>
      </w:pPr>
    </w:p>
    <w:p w14:paraId="295192A2">
      <w:pPr>
        <w:spacing w:line="240" w:lineRule="auto"/>
        <w:jc w:val="center"/>
        <w:rPr>
          <w:rFonts w:hint="eastAsia" w:ascii="黑体" w:hAnsi="黑体" w:eastAsia="黑体"/>
          <w:sz w:val="32"/>
          <w:szCs w:val="24"/>
        </w:rPr>
      </w:pPr>
    </w:p>
    <w:p w14:paraId="397313D7">
      <w:pPr>
        <w:spacing w:line="240" w:lineRule="auto"/>
        <w:jc w:val="center"/>
        <w:rPr>
          <w:rFonts w:hint="eastAsia" w:ascii="黑体" w:hAnsi="黑体" w:eastAsia="黑体"/>
          <w:sz w:val="32"/>
          <w:szCs w:val="24"/>
        </w:rPr>
      </w:pPr>
    </w:p>
    <w:p w14:paraId="0ECCE16C">
      <w:pPr>
        <w:spacing w:line="240" w:lineRule="auto"/>
        <w:jc w:val="center"/>
        <w:rPr>
          <w:rFonts w:hint="eastAsia" w:ascii="黑体" w:hAnsi="黑体" w:eastAsia="黑体"/>
          <w:sz w:val="32"/>
          <w:szCs w:val="24"/>
        </w:rPr>
      </w:pPr>
    </w:p>
    <w:p w14:paraId="64F09631">
      <w:pPr>
        <w:spacing w:line="240" w:lineRule="auto"/>
        <w:jc w:val="center"/>
        <w:rPr>
          <w:rFonts w:hint="eastAsia" w:ascii="黑体" w:hAnsi="黑体" w:eastAsia="黑体"/>
          <w:sz w:val="32"/>
          <w:szCs w:val="24"/>
        </w:rPr>
      </w:pPr>
    </w:p>
    <w:p w14:paraId="7CBECB36">
      <w:pPr>
        <w:spacing w:line="240" w:lineRule="auto"/>
        <w:jc w:val="center"/>
        <w:rPr>
          <w:rFonts w:hint="eastAsia" w:ascii="黑体" w:hAnsi="黑体" w:eastAsia="黑体"/>
          <w:sz w:val="32"/>
          <w:szCs w:val="24"/>
        </w:rPr>
      </w:pPr>
    </w:p>
    <w:p w14:paraId="3E86C8A9">
      <w:pPr>
        <w:spacing w:line="240" w:lineRule="auto"/>
        <w:jc w:val="center"/>
        <w:rPr>
          <w:rFonts w:hint="eastAsia" w:ascii="黑体" w:hAnsi="黑体" w:eastAsia="黑体"/>
          <w:sz w:val="32"/>
          <w:szCs w:val="24"/>
        </w:rPr>
      </w:pPr>
    </w:p>
    <w:p w14:paraId="53CCC08D">
      <w:pPr>
        <w:spacing w:line="240" w:lineRule="auto"/>
        <w:jc w:val="center"/>
        <w:rPr>
          <w:rFonts w:hint="eastAsia" w:ascii="黑体" w:hAnsi="黑体" w:eastAsia="黑体"/>
          <w:sz w:val="32"/>
          <w:szCs w:val="24"/>
        </w:rPr>
      </w:pPr>
    </w:p>
    <w:p w14:paraId="7103D429">
      <w:pPr>
        <w:spacing w:line="240" w:lineRule="auto"/>
        <w:jc w:val="center"/>
        <w:rPr>
          <w:rFonts w:hint="eastAsia" w:ascii="黑体" w:hAnsi="黑体" w:eastAsia="黑体"/>
          <w:sz w:val="32"/>
          <w:szCs w:val="24"/>
        </w:rPr>
      </w:pPr>
    </w:p>
    <w:p w14:paraId="3AEF1B29">
      <w:pPr>
        <w:spacing w:line="240" w:lineRule="auto"/>
        <w:jc w:val="center"/>
        <w:rPr>
          <w:rFonts w:hint="eastAsia" w:ascii="黑体" w:hAnsi="黑体" w:eastAsia="黑体"/>
          <w:sz w:val="32"/>
          <w:szCs w:val="24"/>
        </w:rPr>
      </w:pPr>
    </w:p>
    <w:p w14:paraId="01F1CDE3">
      <w:pPr>
        <w:spacing w:line="240" w:lineRule="auto"/>
        <w:jc w:val="center"/>
        <w:rPr>
          <w:rFonts w:hint="eastAsia" w:ascii="黑体" w:hAnsi="黑体" w:eastAsia="黑体"/>
          <w:sz w:val="32"/>
          <w:szCs w:val="24"/>
        </w:rPr>
      </w:pPr>
    </w:p>
    <w:p w14:paraId="347436B6">
      <w:p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6963B544"/>
    <w:bookmarkEnd w:id="0"/>
    <w:p w14:paraId="312DD7AF">
      <w:pPr>
        <w:pStyle w:val="2"/>
        <w:numPr>
          <w:ilvl w:val="0"/>
          <w:numId w:val="1"/>
        </w:numPr>
        <w:spacing w:line="576" w:lineRule="auto"/>
        <w:ind w:left="420" w:hanging="420"/>
        <w:jc w:val="left"/>
        <w:rPr>
          <w:rFonts w:ascii="仿宋_GB2312" w:hAnsi="黑体" w:eastAsia="仿宋_GB2312" w:cstheme="majorEastAsia"/>
          <w:bCs w:val="0"/>
          <w:szCs w:val="32"/>
        </w:rPr>
      </w:pPr>
      <w:bookmarkStart w:id="2" w:name="_Toc7437"/>
      <w:r>
        <w:rPr>
          <w:rFonts w:hint="eastAsia" w:ascii="仿宋_GB2312" w:hAnsi="黑体" w:eastAsia="仿宋_GB2312" w:cstheme="majorEastAsia"/>
          <w:bCs w:val="0"/>
          <w:szCs w:val="32"/>
        </w:rPr>
        <w:t>系统要求</w:t>
      </w:r>
      <w:bookmarkEnd w:id="2"/>
    </w:p>
    <w:bookmarkEnd w:id="1"/>
    <w:p w14:paraId="46B81038">
      <w:pPr>
        <w:pStyle w:val="3"/>
      </w:pPr>
      <w:bookmarkStart w:id="3" w:name="_Toc2496"/>
      <w:bookmarkStart w:id="4" w:name="_Toc47807374"/>
      <w:r>
        <w:rPr>
          <w:rFonts w:hint="eastAsia"/>
        </w:rPr>
        <w:t>设备要求</w:t>
      </w:r>
      <w:bookmarkEnd w:id="3"/>
      <w:bookmarkEnd w:id="4"/>
    </w:p>
    <w:p w14:paraId="1E52FE4D">
      <w:pPr>
        <w:widowControl/>
        <w:ind w:firstLine="42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客户端</w:t>
      </w:r>
    </w:p>
    <w:tbl>
      <w:tblPr>
        <w:tblStyle w:val="18"/>
        <w:tblW w:w="7455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75"/>
        <w:gridCol w:w="5880"/>
      </w:tblGrid>
      <w:tr w14:paraId="7A6BCF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75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28E29">
            <w:pPr>
              <w:widowControl/>
              <w:ind w:firstLine="562"/>
              <w:jc w:val="center"/>
              <w:rPr>
                <w:rFonts w:ascii="仿宋_GB2312" w:eastAsia="仿宋_GB2312" w:cs="宋体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cs="宋体" w:hAnsiTheme="minorEastAsia"/>
                <w:b/>
                <w:bCs/>
                <w:kern w:val="0"/>
                <w:sz w:val="28"/>
                <w:szCs w:val="28"/>
              </w:rPr>
              <w:t>项目</w:t>
            </w:r>
          </w:p>
        </w:tc>
        <w:tc>
          <w:tcPr>
            <w:tcW w:w="5880" w:type="dxa"/>
            <w:tcBorders>
              <w:top w:val="single" w:color="000000" w:sz="12" w:space="0"/>
              <w:left w:val="nil"/>
              <w:bottom w:val="single" w:color="000000" w:sz="8" w:space="0"/>
              <w:right w:val="single" w:color="000000" w:sz="12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4B1F5">
            <w:pPr>
              <w:widowControl/>
              <w:spacing w:before="100" w:beforeAutospacing="1" w:after="100" w:afterAutospacing="1"/>
              <w:ind w:firstLine="482"/>
              <w:jc w:val="center"/>
              <w:rPr>
                <w:rFonts w:ascii="仿宋_GB2312" w:eastAsia="仿宋_GB2312" w:cs="宋体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cs="宋体" w:hAnsiTheme="minorEastAsia"/>
                <w:b/>
                <w:bCs/>
                <w:kern w:val="0"/>
                <w:sz w:val="28"/>
                <w:szCs w:val="28"/>
              </w:rPr>
              <w:t>要求</w:t>
            </w:r>
          </w:p>
        </w:tc>
      </w:tr>
      <w:tr w14:paraId="05FDCA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jc w:val="center"/>
        </w:trPr>
        <w:tc>
          <w:tcPr>
            <w:tcW w:w="1575" w:type="dxa"/>
            <w:tcBorders>
              <w:top w:val="nil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851B7">
            <w:pPr>
              <w:widowControl/>
              <w:spacing w:before="100" w:beforeAutospacing="1" w:after="100" w:afterAutospacing="1"/>
              <w:ind w:firstLine="480"/>
              <w:jc w:val="center"/>
              <w:rPr>
                <w:rFonts w:ascii="仿宋_GB2312" w:eastAsia="仿宋_GB2312" w:cs="宋体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cs="宋体" w:hAnsiTheme="minorEastAsia"/>
                <w:kern w:val="0"/>
                <w:sz w:val="28"/>
                <w:szCs w:val="28"/>
              </w:rPr>
              <w:t>CPU</w:t>
            </w:r>
          </w:p>
        </w:tc>
        <w:tc>
          <w:tcPr>
            <w:tcW w:w="5880" w:type="dxa"/>
            <w:tcBorders>
              <w:top w:val="nil"/>
              <w:left w:val="nil"/>
              <w:bottom w:val="single" w:color="000000" w:sz="8" w:space="0"/>
              <w:right w:val="single" w:color="000000" w:sz="1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39C3D">
            <w:pPr>
              <w:widowControl/>
              <w:spacing w:before="100" w:beforeAutospacing="1" w:after="100" w:afterAutospacing="1"/>
              <w:ind w:firstLine="480"/>
              <w:jc w:val="center"/>
              <w:rPr>
                <w:rFonts w:ascii="仿宋_GB2312" w:eastAsia="仿宋_GB2312" w:cs="宋体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cs="宋体" w:hAnsiTheme="minorEastAsia"/>
                <w:kern w:val="0"/>
                <w:sz w:val="28"/>
                <w:szCs w:val="28"/>
              </w:rPr>
              <w:t>双核处理器，频率2G以上</w:t>
            </w:r>
          </w:p>
        </w:tc>
      </w:tr>
      <w:tr w14:paraId="28F968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75" w:type="dxa"/>
            <w:tcBorders>
              <w:top w:val="nil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67C14">
            <w:pPr>
              <w:widowControl/>
              <w:spacing w:before="100" w:beforeAutospacing="1" w:after="100" w:afterAutospacing="1"/>
              <w:ind w:firstLine="480"/>
              <w:jc w:val="center"/>
              <w:rPr>
                <w:rFonts w:ascii="仿宋_GB2312" w:eastAsia="仿宋_GB2312" w:cs="宋体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cs="宋体" w:hAnsiTheme="minorEastAsia"/>
                <w:kern w:val="0"/>
                <w:sz w:val="28"/>
                <w:szCs w:val="28"/>
              </w:rPr>
              <w:t>内存</w:t>
            </w:r>
          </w:p>
        </w:tc>
        <w:tc>
          <w:tcPr>
            <w:tcW w:w="5880" w:type="dxa"/>
            <w:tcBorders>
              <w:top w:val="nil"/>
              <w:left w:val="nil"/>
              <w:bottom w:val="single" w:color="000000" w:sz="8" w:space="0"/>
              <w:right w:val="single" w:color="000000" w:sz="1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30D7E">
            <w:pPr>
              <w:widowControl/>
              <w:spacing w:before="100" w:beforeAutospacing="1" w:after="100" w:afterAutospacing="1"/>
              <w:ind w:firstLine="480"/>
              <w:jc w:val="center"/>
              <w:rPr>
                <w:rFonts w:ascii="仿宋_GB2312" w:eastAsia="仿宋_GB2312" w:cs="宋体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cs="宋体" w:hAnsiTheme="minorEastAsia"/>
                <w:kern w:val="0"/>
                <w:sz w:val="28"/>
                <w:szCs w:val="28"/>
              </w:rPr>
              <w:t>&gt;=4GB</w:t>
            </w:r>
          </w:p>
        </w:tc>
      </w:tr>
      <w:tr w14:paraId="7D0D4B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75" w:type="dxa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B10E3">
            <w:pPr>
              <w:widowControl/>
              <w:spacing w:before="100" w:beforeAutospacing="1" w:after="100" w:afterAutospacing="1"/>
              <w:ind w:firstLine="480"/>
              <w:jc w:val="center"/>
              <w:rPr>
                <w:rFonts w:ascii="仿宋_GB2312" w:eastAsia="仿宋_GB2312" w:cs="宋体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cs="宋体" w:hAnsiTheme="minorEastAsia"/>
                <w:kern w:val="0"/>
                <w:sz w:val="28"/>
                <w:szCs w:val="28"/>
              </w:rPr>
              <w:t>硬盘</w:t>
            </w:r>
          </w:p>
        </w:tc>
        <w:tc>
          <w:tcPr>
            <w:tcW w:w="5880" w:type="dxa"/>
            <w:tcBorders>
              <w:top w:val="nil"/>
              <w:left w:val="nil"/>
              <w:bottom w:val="single" w:color="000000" w:sz="12" w:space="0"/>
              <w:right w:val="single" w:color="000000" w:sz="12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37E34">
            <w:pPr>
              <w:widowControl/>
              <w:spacing w:before="100" w:beforeAutospacing="1" w:after="100" w:afterAutospacing="1"/>
              <w:ind w:firstLine="480"/>
              <w:jc w:val="center"/>
              <w:rPr>
                <w:rFonts w:ascii="仿宋_GB2312" w:eastAsia="仿宋_GB2312" w:cs="宋体" w:hAnsiTheme="minorEastAsia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 w:cs="宋体" w:hAnsiTheme="minorEastAsia"/>
                <w:kern w:val="0"/>
                <w:sz w:val="28"/>
                <w:szCs w:val="28"/>
              </w:rPr>
              <w:t>&gt;=80G</w:t>
            </w:r>
          </w:p>
        </w:tc>
      </w:tr>
    </w:tbl>
    <w:p w14:paraId="0204874F">
      <w:pPr>
        <w:pStyle w:val="3"/>
      </w:pPr>
      <w:bookmarkStart w:id="5" w:name="_Toc47807376"/>
      <w:bookmarkStart w:id="6" w:name="_Toc26387"/>
      <w:r>
        <w:rPr>
          <w:rFonts w:hint="eastAsia"/>
        </w:rPr>
        <w:t>支持软件</w:t>
      </w:r>
      <w:bookmarkEnd w:id="5"/>
      <w:bookmarkEnd w:id="6"/>
    </w:p>
    <w:p w14:paraId="02C78D63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客户端推荐使用</w:t>
      </w:r>
      <w:r>
        <w:rPr>
          <w:rFonts w:hint="eastAsia" w:ascii="仿宋_GB2312" w:hAnsi="仿宋" w:eastAsia="仿宋_GB2312"/>
          <w:sz w:val="28"/>
          <w:szCs w:val="28"/>
        </w:rPr>
        <w:t xml:space="preserve">360浏览器和Google </w:t>
      </w:r>
      <w:r>
        <w:rPr>
          <w:rFonts w:hint="eastAsia" w:ascii="仿宋_GB2312" w:hAnsi="宋体" w:eastAsia="仿宋_GB2312" w:cs="宋体"/>
          <w:sz w:val="28"/>
          <w:szCs w:val="28"/>
        </w:rPr>
        <w:t>Chrome</w:t>
      </w:r>
      <w:r>
        <w:rPr>
          <w:rFonts w:hint="eastAsia" w:ascii="仿宋_GB2312" w:hAnsi="仿宋" w:eastAsia="仿宋_GB2312"/>
          <w:sz w:val="28"/>
          <w:szCs w:val="28"/>
        </w:rPr>
        <w:t>浏览器</w:t>
      </w:r>
      <w:r>
        <w:rPr>
          <w:rFonts w:hint="eastAsia" w:ascii="仿宋_GB2312" w:hAnsi="宋体" w:eastAsia="仿宋_GB2312" w:cs="宋体"/>
          <w:sz w:val="28"/>
          <w:szCs w:val="28"/>
        </w:rPr>
        <w:t>。</w:t>
      </w:r>
    </w:p>
    <w:p w14:paraId="3C87BE79">
      <w:pPr>
        <w:pStyle w:val="2"/>
        <w:numPr>
          <w:ilvl w:val="0"/>
          <w:numId w:val="1"/>
        </w:numPr>
        <w:spacing w:line="576" w:lineRule="auto"/>
        <w:ind w:left="420" w:hanging="420"/>
        <w:jc w:val="left"/>
        <w:rPr>
          <w:rFonts w:ascii="仿宋_GB2312" w:hAnsi="黑体" w:eastAsia="仿宋_GB2312" w:cstheme="majorEastAsia"/>
          <w:bCs w:val="0"/>
          <w:szCs w:val="32"/>
        </w:rPr>
      </w:pPr>
      <w:bookmarkStart w:id="7" w:name="_Hlk498705083"/>
      <w:bookmarkEnd w:id="7"/>
      <w:bookmarkStart w:id="8" w:name="_Toc47807377"/>
      <w:bookmarkStart w:id="9" w:name="_Toc12037"/>
      <w:r>
        <w:rPr>
          <w:rFonts w:hint="eastAsia" w:ascii="仿宋_GB2312" w:hAnsi="黑体" w:eastAsia="仿宋_GB2312" w:cstheme="majorEastAsia"/>
          <w:bCs w:val="0"/>
          <w:szCs w:val="32"/>
        </w:rPr>
        <w:t>系统登录及管理</w:t>
      </w:r>
      <w:bookmarkEnd w:id="8"/>
      <w:bookmarkEnd w:id="9"/>
    </w:p>
    <w:p w14:paraId="3EA2F893">
      <w:pPr>
        <w:pStyle w:val="3"/>
      </w:pPr>
      <w:bookmarkStart w:id="10" w:name="_Toc6369"/>
      <w:bookmarkStart w:id="11" w:name="_Toc47807378"/>
      <w:r>
        <w:rPr>
          <w:rFonts w:hint="eastAsia"/>
        </w:rPr>
        <w:t>用户登陆</w:t>
      </w:r>
      <w:bookmarkEnd w:id="10"/>
      <w:bookmarkEnd w:id="11"/>
      <w:bookmarkStart w:id="12" w:name="_Toc500249350"/>
    </w:p>
    <w:p w14:paraId="0D2702B0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根据用户身份从云南省公共资源交易信息网招标人、投标人入口使用ca登录系统。</w:t>
      </w:r>
    </w:p>
    <w:p w14:paraId="2C9EC0E7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系统地址：</w:t>
      </w:r>
      <w:r>
        <w:fldChar w:fldCharType="begin"/>
      </w:r>
      <w:r>
        <w:instrText xml:space="preserve"> HYPERLINK "https://ggzy.yn.gov.cn/homePage#/homePage" </w:instrText>
      </w:r>
      <w:r>
        <w:fldChar w:fldCharType="separate"/>
      </w:r>
      <w:r>
        <w:rPr>
          <w:rStyle w:val="20"/>
          <w:rFonts w:hint="eastAsia" w:ascii="仿宋_GB2312" w:hAnsi="宋体" w:eastAsia="仿宋_GB2312" w:cs="宋体"/>
          <w:sz w:val="28"/>
          <w:szCs w:val="28"/>
        </w:rPr>
        <w:t>https://ggzy.yn.gov.cn/homePage#/homePage</w:t>
      </w:r>
      <w:r>
        <w:rPr>
          <w:rStyle w:val="20"/>
          <w:rFonts w:hint="eastAsia" w:ascii="仿宋_GB2312" w:hAnsi="宋体" w:eastAsia="仿宋_GB2312" w:cs="宋体"/>
          <w:sz w:val="28"/>
          <w:szCs w:val="28"/>
        </w:rPr>
        <w:fldChar w:fldCharType="end"/>
      </w:r>
    </w:p>
    <w:p w14:paraId="615B22C6"/>
    <w:p w14:paraId="0052035D">
      <w:pPr>
        <w:rPr>
          <w:rFonts w:ascii="仿宋_GB2312" w:hAnsi="宋体" w:eastAsia="仿宋_GB2312" w:cs="宋体"/>
          <w:sz w:val="28"/>
          <w:szCs w:val="28"/>
        </w:rPr>
      </w:pPr>
      <w:r>
        <w:drawing>
          <wp:inline distT="0" distB="0" distL="114300" distR="114300">
            <wp:extent cx="5268595" cy="3328670"/>
            <wp:effectExtent l="0" t="0" r="8255" b="508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7BCCE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图1-云南省公共资源交易信息网页面</w:t>
      </w:r>
    </w:p>
    <w:p w14:paraId="71F3299D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登录成功后，进入主界面。</w:t>
      </w:r>
    </w:p>
    <w:p w14:paraId="18906127">
      <w:r>
        <w:drawing>
          <wp:inline distT="0" distB="0" distL="114300" distR="114300">
            <wp:extent cx="5264150" cy="3152140"/>
            <wp:effectExtent l="0" t="0" r="12700" b="1016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C50B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图2-用户登录页面</w:t>
      </w:r>
    </w:p>
    <w:bookmarkEnd w:id="12"/>
    <w:p w14:paraId="70F339D1">
      <w:pPr>
        <w:pStyle w:val="3"/>
      </w:pPr>
      <w:bookmarkStart w:id="13" w:name="_Toc47807379"/>
      <w:bookmarkStart w:id="14" w:name="_Toc12773"/>
      <w:bookmarkStart w:id="15" w:name="_Toc47807380"/>
      <w:r>
        <w:rPr>
          <w:rFonts w:hint="eastAsia"/>
        </w:rPr>
        <w:t>添加部门</w:t>
      </w:r>
      <w:bookmarkEnd w:id="13"/>
      <w:bookmarkEnd w:id="14"/>
      <w:bookmarkStart w:id="16" w:name="_Toc500249348"/>
    </w:p>
    <w:p w14:paraId="3DFE0CD3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招标方管理员（即使用机构证书登录的）点击【用户及审批流程管理】，进入系统用户管理以及审批流程管理页面。</w:t>
      </w:r>
    </w:p>
    <w:p w14:paraId="563EC4E8">
      <w:pPr>
        <w:keepNext/>
      </w:pPr>
      <w:r>
        <w:drawing>
          <wp:inline distT="0" distB="0" distL="114300" distR="114300">
            <wp:extent cx="5271770" cy="1838960"/>
            <wp:effectExtent l="0" t="0" r="50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4D258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图3-用户管理页面</w:t>
      </w:r>
    </w:p>
    <w:p w14:paraId="56D6608B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点击“用户管理”菜单，进入部门及人员管理界面，点击“添加子部门”进入添加部门的操作界面；</w:t>
      </w:r>
    </w:p>
    <w:p w14:paraId="7942A7E2">
      <w:pPr>
        <w:keepNext/>
      </w:pPr>
      <w:r>
        <w:drawing>
          <wp:inline distT="0" distB="0" distL="114300" distR="114300">
            <wp:extent cx="4036695" cy="3300730"/>
            <wp:effectExtent l="0" t="0" r="190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F7ED1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图4-添加部门列表页面</w:t>
      </w:r>
    </w:p>
    <w:p w14:paraId="7220D930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填写部门名称后，点击【保存】完成部门添加操作。</w:t>
      </w:r>
    </w:p>
    <w:p w14:paraId="7138E84B">
      <w:pPr>
        <w:keepNext/>
      </w:pPr>
      <w:r>
        <w:drawing>
          <wp:inline distT="0" distB="0" distL="114300" distR="114300">
            <wp:extent cx="5271770" cy="1202690"/>
            <wp:effectExtent l="0" t="0" r="5080" b="165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467C7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图5-添加子部门页面</w:t>
      </w:r>
    </w:p>
    <w:bookmarkEnd w:id="16"/>
    <w:p w14:paraId="087E11BE">
      <w:pPr>
        <w:pStyle w:val="3"/>
      </w:pPr>
      <w:bookmarkStart w:id="17" w:name="_Toc20484"/>
      <w:r>
        <w:rPr>
          <w:rFonts w:hint="eastAsia"/>
        </w:rPr>
        <w:t>添加用户</w:t>
      </w:r>
      <w:bookmarkEnd w:id="15"/>
      <w:bookmarkEnd w:id="17"/>
    </w:p>
    <w:p w14:paraId="677B4E55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点击“用户管理”菜单，进入用户管理界面，点击【添加】进入添加用户的操作界面；</w:t>
      </w:r>
    </w:p>
    <w:p w14:paraId="00790872">
      <w:pPr>
        <w:keepNext/>
      </w:pPr>
      <w:r>
        <w:drawing>
          <wp:inline distT="0" distB="0" distL="114300" distR="114300">
            <wp:extent cx="5271135" cy="1535430"/>
            <wp:effectExtent l="0" t="0" r="571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5B0AA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图6-用户列表页面</w:t>
      </w:r>
    </w:p>
    <w:p w14:paraId="12974CE4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填写登录名、用户姓名、联系电话等信息后，点击【保存】完成用户的添加。</w:t>
      </w:r>
    </w:p>
    <w:p w14:paraId="516D91AE">
      <w:pPr>
        <w:keepNext/>
      </w:pPr>
      <w:r>
        <w:drawing>
          <wp:inline distT="0" distB="0" distL="114300" distR="114300">
            <wp:extent cx="5266690" cy="2259965"/>
            <wp:effectExtent l="0" t="0" r="6350" b="1079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AABA8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图7-添加用户信息页面</w:t>
      </w:r>
    </w:p>
    <w:p w14:paraId="44183801">
      <w:pPr>
        <w:pStyle w:val="3"/>
      </w:pPr>
      <w:bookmarkStart w:id="18" w:name="_Toc13137"/>
      <w:r>
        <w:rPr>
          <w:rFonts w:hint="eastAsia"/>
        </w:rPr>
        <w:t>审批流程管理</w:t>
      </w:r>
      <w:bookmarkEnd w:id="18"/>
    </w:p>
    <w:p w14:paraId="70294E76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选择权限组，点击对应的“分配权限”进入分配权限的操作界面；</w:t>
      </w:r>
    </w:p>
    <w:p w14:paraId="7BB3E55F">
      <w:pPr>
        <w:keepNext/>
      </w:pPr>
      <w:r>
        <w:drawing>
          <wp:inline distT="0" distB="0" distL="114300" distR="114300">
            <wp:extent cx="2990850" cy="2105025"/>
            <wp:effectExtent l="0" t="0" r="0" b="952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36BEB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图8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审批流程管理列表界面</w:t>
      </w:r>
    </w:p>
    <w:p w14:paraId="49FFDA55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点击列表页面右上角“新增”按钮，可新增合同审批事项的审批流程。</w:t>
      </w:r>
    </w:p>
    <w:p w14:paraId="7767BF0D">
      <w:pPr>
        <w:keepNext/>
      </w:pPr>
      <w:r>
        <w:drawing>
          <wp:inline distT="0" distB="0" distL="114300" distR="114300">
            <wp:extent cx="5263515" cy="1320800"/>
            <wp:effectExtent l="0" t="0" r="13335" b="1270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3D32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图9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审批流程管理列表界面</w:t>
      </w:r>
    </w:p>
    <w:p w14:paraId="7D4DA185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选择补充审批事项、入场登记部门、行业类型、工程专业类型等信息，根据需求配置审批级别，然后添加对应审批事项工作人员。</w:t>
      </w:r>
    </w:p>
    <w:p w14:paraId="263A5CE9">
      <w:pPr>
        <w:keepNext/>
      </w:pPr>
      <w:r>
        <w:drawing>
          <wp:inline distT="0" distB="0" distL="114300" distR="114300">
            <wp:extent cx="5260975" cy="1715135"/>
            <wp:effectExtent l="0" t="0" r="15875" b="1841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B1835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图10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审批流成配置页面</w:t>
      </w:r>
    </w:p>
    <w:p w14:paraId="4CAC809F">
      <w:pPr>
        <w:pStyle w:val="2"/>
        <w:numPr>
          <w:ilvl w:val="0"/>
          <w:numId w:val="1"/>
        </w:numPr>
        <w:spacing w:line="576" w:lineRule="auto"/>
        <w:ind w:left="420" w:hanging="420"/>
        <w:jc w:val="left"/>
        <w:rPr>
          <w:rFonts w:ascii="仿宋_GB2312" w:hAnsi="黑体" w:eastAsia="仿宋_GB2312" w:cstheme="majorEastAsia"/>
          <w:bCs w:val="0"/>
          <w:szCs w:val="32"/>
        </w:rPr>
      </w:pPr>
      <w:bookmarkStart w:id="19" w:name="_Toc9436"/>
      <w:r>
        <w:rPr>
          <w:rFonts w:hint="eastAsia" w:ascii="仿宋_GB2312" w:hAnsi="黑体" w:eastAsia="仿宋_GB2312" w:cstheme="majorEastAsia"/>
          <w:bCs w:val="0"/>
          <w:szCs w:val="32"/>
        </w:rPr>
        <w:t>合同管理</w:t>
      </w:r>
      <w:bookmarkEnd w:id="19"/>
    </w:p>
    <w:p w14:paraId="10CF25A9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用户可创建合同基本信息，使用合同模板和编辑合同正文功能。</w:t>
      </w:r>
    </w:p>
    <w:p w14:paraId="75E48C53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审核人、项目经理可查看相关的合同项目，包括合同信息、相关项目信息、审核结果、审核操作记录等。</w:t>
      </w:r>
    </w:p>
    <w:p w14:paraId="5BE83460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系统内可直接获取中标结果相关信息，采供双方可在线起草合同。</w:t>
      </w:r>
    </w:p>
    <w:p w14:paraId="762E3A30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可由招标方自行配置合同审批流程，更改审批人员。</w:t>
      </w:r>
    </w:p>
    <w:p w14:paraId="667B322E">
      <w:pPr>
        <w:pStyle w:val="31"/>
        <w:keepNext/>
        <w:keepLines/>
        <w:numPr>
          <w:ilvl w:val="1"/>
          <w:numId w:val="1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0"/>
          <w:szCs w:val="32"/>
        </w:rPr>
      </w:pPr>
      <w:bookmarkStart w:id="20" w:name="_Toc69932606"/>
      <w:bookmarkEnd w:id="20"/>
      <w:bookmarkStart w:id="21" w:name="_Toc69932501"/>
      <w:bookmarkEnd w:id="21"/>
    </w:p>
    <w:p w14:paraId="1F40FA89">
      <w:pPr>
        <w:pStyle w:val="3"/>
      </w:pPr>
      <w:bookmarkStart w:id="22" w:name="_Toc16535"/>
      <w:r>
        <w:rPr>
          <w:rFonts w:hint="eastAsia"/>
        </w:rPr>
        <w:t>合同模板</w:t>
      </w:r>
      <w:bookmarkEnd w:id="22"/>
    </w:p>
    <w:p w14:paraId="1AD81BDC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点击【合同模板】模块，可由招标方新增合同模板，自行在线编辑或从外部导入系统，保存模板后后续创建模板时可进行选择使用。</w:t>
      </w:r>
    </w:p>
    <w:p w14:paraId="6FB18256">
      <w:r>
        <w:drawing>
          <wp:inline distT="0" distB="0" distL="114300" distR="114300">
            <wp:extent cx="5263515" cy="1776730"/>
            <wp:effectExtent l="0" t="0" r="13335" b="1397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21F06">
      <w:r>
        <w:drawing>
          <wp:inline distT="0" distB="0" distL="114300" distR="114300">
            <wp:extent cx="5273040" cy="2594610"/>
            <wp:effectExtent l="0" t="0" r="3810" b="1524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CD60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图11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合同模板编辑界面</w:t>
      </w:r>
    </w:p>
    <w:p w14:paraId="33EF8516">
      <w:pPr>
        <w:pStyle w:val="3"/>
      </w:pPr>
      <w:bookmarkStart w:id="23" w:name="_Toc5184"/>
      <w:r>
        <w:rPr>
          <w:rFonts w:hint="eastAsia"/>
        </w:rPr>
        <w:t>合同创建</w:t>
      </w:r>
      <w:bookmarkEnd w:id="23"/>
    </w:p>
    <w:p w14:paraId="06D17317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点击【合同创建】模块，可由招标方新增合同，编辑合同模板，补充相关信息，提交后按照配置的审批流程，发送给对应人员进行审批。</w:t>
      </w:r>
    </w:p>
    <w:p w14:paraId="2C38E185">
      <w:pPr>
        <w:keepNext/>
      </w:pPr>
      <w:r>
        <w:drawing>
          <wp:inline distT="0" distB="0" distL="114300" distR="114300">
            <wp:extent cx="5256530" cy="1779905"/>
            <wp:effectExtent l="0" t="0" r="1270" b="1079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06C95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图12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合同创建列表界面</w:t>
      </w:r>
    </w:p>
    <w:p w14:paraId="65C24B9F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点击右上角“新增”按钮，进入合同编辑页面，基本信息中，点击“选择”按钮，选择可签订合同的项目后，系统自动读取项目相关项目基本信息以及中标人信息。</w:t>
      </w:r>
    </w:p>
    <w:p w14:paraId="69DBF524">
      <w:pPr>
        <w:keepNext/>
      </w:pPr>
      <w:r>
        <w:drawing>
          <wp:inline distT="0" distB="0" distL="114300" distR="114300">
            <wp:extent cx="5266055" cy="1257300"/>
            <wp:effectExtent l="0" t="0" r="10795" b="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852E0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图13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合同创建基本信息页面</w:t>
      </w:r>
    </w:p>
    <w:p w14:paraId="75702B52">
      <w:pPr>
        <w:numPr>
          <w:ilvl w:val="0"/>
          <w:numId w:val="2"/>
        </w:numPr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合同基本信息：</w:t>
      </w:r>
    </w:p>
    <w:p w14:paraId="6B3AE1B9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合同基本信息部分需要招标方将合同编号、合同名称、合同生效日期、合同截止日期、结算类型、合同金额以及合同说明等信息补充完整；</w:t>
      </w:r>
    </w:p>
    <w:p w14:paraId="4CF256A4">
      <w:pPr>
        <w:keepNext/>
      </w:pPr>
      <w:r>
        <w:drawing>
          <wp:inline distT="0" distB="0" distL="114300" distR="114300">
            <wp:extent cx="5258435" cy="2237740"/>
            <wp:effectExtent l="0" t="0" r="18415" b="10160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2A2BB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图14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合同基本信息页面</w:t>
      </w:r>
    </w:p>
    <w:p w14:paraId="0259888C">
      <w:pPr>
        <w:numPr>
          <w:ilvl w:val="0"/>
          <w:numId w:val="2"/>
        </w:numPr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合同正文：</w:t>
      </w:r>
    </w:p>
    <w:p w14:paraId="3FD82792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招标用户可在“编辑合同正文”部分，选择自己创建的合同模板，加载合同模板并进行编辑；</w:t>
      </w:r>
    </w:p>
    <w:p w14:paraId="6272D52B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在“合同签订主体信息”中选择招标人和需要发送的中标人，选择完成后点击“提交”可提交至审批流程中配置的人员进行审核。</w:t>
      </w:r>
    </w:p>
    <w:p w14:paraId="6A68CE40">
      <w:r>
        <w:drawing>
          <wp:inline distT="0" distB="0" distL="114300" distR="114300">
            <wp:extent cx="5273040" cy="2562860"/>
            <wp:effectExtent l="0" t="0" r="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D6236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图15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合同正文页面</w:t>
      </w:r>
    </w:p>
    <w:p w14:paraId="696DA036">
      <w:pPr>
        <w:numPr>
          <w:ilvl w:val="0"/>
          <w:numId w:val="2"/>
        </w:numPr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操作记录：</w:t>
      </w:r>
    </w:p>
    <w:p w14:paraId="2DA8155B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可查看起草的该合同的提交、受理记录；</w:t>
      </w:r>
    </w:p>
    <w:p w14:paraId="24480074">
      <w:r>
        <w:drawing>
          <wp:inline distT="0" distB="0" distL="114300" distR="114300">
            <wp:extent cx="5262245" cy="764540"/>
            <wp:effectExtent l="0" t="0" r="14605" b="16510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6250C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图16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操作记录信息页面</w:t>
      </w:r>
    </w:p>
    <w:p w14:paraId="1308456F">
      <w:pPr>
        <w:pStyle w:val="3"/>
      </w:pPr>
      <w:bookmarkStart w:id="24" w:name="_Toc31980"/>
      <w:r>
        <w:rPr>
          <w:rFonts w:hint="eastAsia"/>
        </w:rPr>
        <w:t>合同签订</w:t>
      </w:r>
      <w:bookmarkEnd w:id="24"/>
    </w:p>
    <w:p w14:paraId="3F5C6168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点击【合同签订】模块，列表界面可查看到用户创建并已审批通过的合同事项，点击操作下“发送”按钮，可将合同发送给对应的中标人。</w:t>
      </w:r>
    </w:p>
    <w:p w14:paraId="5611A174">
      <w:r>
        <w:drawing>
          <wp:inline distT="0" distB="0" distL="114300" distR="114300">
            <wp:extent cx="5268595" cy="1873885"/>
            <wp:effectExtent l="0" t="0" r="8255" b="12065"/>
            <wp:docPr id="7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BD4B3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图17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合同签订列表页面</w:t>
      </w:r>
    </w:p>
    <w:p w14:paraId="2CCBD702">
      <w:r>
        <w:drawing>
          <wp:inline distT="0" distB="0" distL="114300" distR="114300">
            <wp:extent cx="5266690" cy="2497455"/>
            <wp:effectExtent l="0" t="0" r="10160" b="17145"/>
            <wp:docPr id="7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4247F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图18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合同签订发送页面</w:t>
      </w:r>
    </w:p>
    <w:p w14:paraId="70F8DB86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合同发送之后，可点击“签订”按钮进行线上签订流程，签订页面内，可点击“在线签订”对合同正文进行线上签章。</w:t>
      </w:r>
    </w:p>
    <w:p w14:paraId="160A9726">
      <w:pPr>
        <w:jc w:val="center"/>
      </w:pPr>
      <w:r>
        <w:drawing>
          <wp:inline distT="0" distB="0" distL="114300" distR="114300">
            <wp:extent cx="5271135" cy="1765300"/>
            <wp:effectExtent l="0" t="0" r="5715" b="6350"/>
            <wp:docPr id="7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sz w:val="21"/>
        </w:rPr>
        <w:t>图19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合同签订列表页面</w:t>
      </w:r>
    </w:p>
    <w:p w14:paraId="2F553CD6">
      <w:r>
        <w:drawing>
          <wp:inline distT="0" distB="0" distL="114300" distR="114300">
            <wp:extent cx="5263515" cy="2538730"/>
            <wp:effectExtent l="0" t="0" r="13335" b="13970"/>
            <wp:docPr id="7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A1C6">
      <w:r>
        <w:drawing>
          <wp:inline distT="0" distB="0" distL="114300" distR="114300">
            <wp:extent cx="5260975" cy="2865120"/>
            <wp:effectExtent l="0" t="0" r="15875" b="11430"/>
            <wp:docPr id="7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A266E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图20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线上签章页面</w:t>
      </w:r>
    </w:p>
    <w:p w14:paraId="20B153C2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在线签章过程中，招标方可与中标人进行在线沟通，确认信息无误后点击右上角“同意签订”保存该事项，中标人可在其页面中看到招标方完成签章的页面。</w:t>
      </w:r>
    </w:p>
    <w:p w14:paraId="4DE6EE73">
      <w:r>
        <w:drawing>
          <wp:inline distT="0" distB="0" distL="114300" distR="114300">
            <wp:extent cx="5272405" cy="2555240"/>
            <wp:effectExtent l="0" t="0" r="4445" b="16510"/>
            <wp:docPr id="7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69BBA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图21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在线沟通页面</w:t>
      </w:r>
    </w:p>
    <w:p w14:paraId="28A10244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中标人同样可在【合同签订】页面查看到可进行签订的合同事项，点击“签订”按钮，可以进到签章页面对合同正文进行签订，完成合同签署。</w:t>
      </w:r>
    </w:p>
    <w:p w14:paraId="43E0C06C">
      <w:r>
        <w:drawing>
          <wp:inline distT="0" distB="0" distL="114300" distR="114300">
            <wp:extent cx="5260975" cy="1906270"/>
            <wp:effectExtent l="0" t="0" r="15875" b="17780"/>
            <wp:docPr id="7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C148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图22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投标方合同签订列表页面</w:t>
      </w:r>
    </w:p>
    <w:p w14:paraId="3BFDBD06">
      <w:pPr>
        <w:numPr>
          <w:ilvl w:val="0"/>
          <w:numId w:val="3"/>
        </w:numPr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合同变更</w:t>
      </w:r>
    </w:p>
    <w:p w14:paraId="10496F2B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支持发起方对生效后的合同进行合同信息变更，修改合同信息后提交审核流程，审核通过后需再次发给签订方，双方重新签署合同，签署成功的合同变更生效，同时，生效后的合同信息记录在变更记录中。</w:t>
      </w:r>
    </w:p>
    <w:p w14:paraId="6C3A6BE2">
      <w:r>
        <w:drawing>
          <wp:inline distT="0" distB="0" distL="114300" distR="114300">
            <wp:extent cx="5271135" cy="1873250"/>
            <wp:effectExtent l="0" t="0" r="5715" b="12700"/>
            <wp:docPr id="7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99DD6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图23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合同签订列表变更</w:t>
      </w:r>
    </w:p>
    <w:p w14:paraId="5B38E166">
      <w:pPr>
        <w:numPr>
          <w:ilvl w:val="0"/>
          <w:numId w:val="3"/>
        </w:numPr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签订记录</w:t>
      </w:r>
    </w:p>
    <w:p w14:paraId="302BEAE9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合同签署后查看合同项目信息、合同正文、双方签署状态、签署结果、签署操作记录等信息。</w:t>
      </w:r>
    </w:p>
    <w:p w14:paraId="1FDFB2DB">
      <w:r>
        <w:drawing>
          <wp:inline distT="0" distB="0" distL="114300" distR="114300">
            <wp:extent cx="5264785" cy="1218565"/>
            <wp:effectExtent l="0" t="0" r="825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D369A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图24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合同签订记录查看页面</w:t>
      </w:r>
    </w:p>
    <w:p w14:paraId="388490E1"/>
    <w:p w14:paraId="50B6E6E6">
      <w:pPr>
        <w:numPr>
          <w:ilvl w:val="0"/>
          <w:numId w:val="3"/>
        </w:numPr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合同终止</w:t>
      </w:r>
    </w:p>
    <w:p w14:paraId="13C4D342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发起方可对问题合同进行终止操作，终止后的合同不生效。</w:t>
      </w:r>
    </w:p>
    <w:p w14:paraId="00E94C51">
      <w:r>
        <w:drawing>
          <wp:inline distT="0" distB="0" distL="114300" distR="114300">
            <wp:extent cx="5256530" cy="1913255"/>
            <wp:effectExtent l="0" t="0" r="1270" b="10795"/>
            <wp:docPr id="8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181E4">
      <w:r>
        <w:drawing>
          <wp:inline distT="0" distB="0" distL="114300" distR="114300">
            <wp:extent cx="5260340" cy="1378585"/>
            <wp:effectExtent l="0" t="0" r="16510" b="12065"/>
            <wp:docPr id="8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BFBA">
      <w:pPr>
        <w:spacing w:line="560" w:lineRule="exact"/>
        <w:jc w:val="center"/>
      </w:pPr>
      <w:r>
        <w:rPr>
          <w:rFonts w:hint="eastAsia" w:ascii="仿宋_GB2312" w:eastAsia="仿宋_GB2312"/>
          <w:b/>
          <w:sz w:val="21"/>
        </w:rPr>
        <w:t>图25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终止合同列表、查看页面</w:t>
      </w:r>
    </w:p>
    <w:p w14:paraId="5F4814E1">
      <w:pPr>
        <w:pStyle w:val="3"/>
      </w:pPr>
      <w:bookmarkStart w:id="25" w:name="_Toc20323"/>
      <w:r>
        <w:rPr>
          <w:rFonts w:hint="eastAsia"/>
        </w:rPr>
        <w:t>合同归档</w:t>
      </w:r>
      <w:bookmarkEnd w:id="25"/>
    </w:p>
    <w:p w14:paraId="6B55D6D9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招标方在完成合同签订后，进行【合同归档】模块，可完成合同扫描上传和保存，以保证项目资料的完整性。</w:t>
      </w:r>
    </w:p>
    <w:p w14:paraId="57203E3D">
      <w:pPr>
        <w:rPr>
          <w:rFonts w:ascii="仿宋_GB2312" w:hAnsi="宋体" w:eastAsia="仿宋_GB2312" w:cs="宋体"/>
          <w:sz w:val="28"/>
          <w:szCs w:val="28"/>
        </w:rPr>
      </w:pPr>
      <w:r>
        <w:drawing>
          <wp:inline distT="0" distB="0" distL="114300" distR="114300">
            <wp:extent cx="5272405" cy="2576830"/>
            <wp:effectExtent l="0" t="0" r="635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08A4C">
      <w:pPr>
        <w:keepNext/>
      </w:pPr>
      <w:r>
        <w:drawing>
          <wp:inline distT="0" distB="0" distL="114300" distR="114300">
            <wp:extent cx="5261610" cy="2131060"/>
            <wp:effectExtent l="0" t="0" r="15240" b="2540"/>
            <wp:docPr id="8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3ACF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图26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合同归档页面</w:t>
      </w:r>
    </w:p>
    <w:p w14:paraId="05CAEFB2">
      <w:pPr>
        <w:ind w:firstLine="480"/>
        <w:rPr>
          <w:rFonts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招标方提交合同归档之后，由交易中心进行受理，受理通过之后进行归档。</w:t>
      </w:r>
    </w:p>
    <w:p w14:paraId="555A20A2">
      <w:pPr>
        <w:keepNext/>
      </w:pPr>
      <w:r>
        <w:drawing>
          <wp:inline distT="0" distB="0" distL="114300" distR="114300">
            <wp:extent cx="5273040" cy="2074545"/>
            <wp:effectExtent l="0" t="0" r="3810" b="1905"/>
            <wp:docPr id="8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2BDB1">
      <w:pPr>
        <w:spacing w:line="560" w:lineRule="exact"/>
        <w:jc w:val="center"/>
        <w:rPr>
          <w:rFonts w:ascii="仿宋_GB2312" w:eastAsia="仿宋_GB2312"/>
          <w:b/>
          <w:sz w:val="21"/>
        </w:rPr>
      </w:pPr>
      <w:r>
        <w:rPr>
          <w:rFonts w:hint="eastAsia" w:ascii="仿宋_GB2312" w:eastAsia="仿宋_GB2312"/>
          <w:b/>
          <w:sz w:val="21"/>
        </w:rPr>
        <w:t>图27</w:t>
      </w:r>
      <w:r>
        <w:rPr>
          <w:rFonts w:ascii="仿宋_GB2312" w:eastAsia="仿宋_GB2312"/>
          <w:b/>
          <w:sz w:val="21"/>
        </w:rPr>
        <w:t>-</w:t>
      </w:r>
      <w:r>
        <w:rPr>
          <w:rFonts w:hint="eastAsia" w:ascii="仿宋_GB2312" w:eastAsia="仿宋_GB2312"/>
          <w:b/>
          <w:sz w:val="21"/>
        </w:rPr>
        <w:t>合同归档受理页面</w:t>
      </w:r>
    </w:p>
    <w:sectPr>
      <w:footerReference r:id="rId7" w:type="default"/>
      <w:type w:val="continuous"/>
      <w:pgSz w:w="11906" w:h="16838"/>
      <w:pgMar w:top="1440" w:right="1800" w:bottom="1440" w:left="1800" w:header="851" w:footer="992" w:gutter="0"/>
      <w:pgNumType w:start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7F50C9">
    <w:pPr>
      <w:pStyle w:val="1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C9EEA0">
                          <w:pPr>
                            <w:pStyle w:val="14"/>
                            <w:rPr>
                              <w:rFonts w:hint="eastAsia" w:ascii="黑体" w:hAnsi="黑体" w:eastAsia="黑体" w:cs="黑体"/>
                              <w:sz w:val="16"/>
                              <w:szCs w:val="21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16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16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16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16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黑体" w:hAnsi="黑体" w:eastAsia="黑体" w:cs="黑体"/>
                              <w:sz w:val="16"/>
                              <w:szCs w:val="21"/>
                            </w:rPr>
                            <w:t>III</w:t>
                          </w:r>
                          <w:r>
                            <w:rPr>
                              <w:rFonts w:hint="eastAsia" w:ascii="黑体" w:hAnsi="黑体" w:eastAsia="黑体" w:cs="黑体"/>
                              <w:sz w:val="16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16"/>
                              <w:szCs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QaAL0tAgAAVwQAAA4AAABkcnMvZTJvRG9jLnhtbK1UzY7TMBC+I/EO&#10;lu80aRd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pkQzhYqfvn87&#10;/fh1+vmV4AwCtdbPEPdgERm6t6ZD2wznHoeRd1c5Fb9gROCHvMeLvKILhMdL08l0msPF4Rs2wM8e&#10;r1vnwzthFIlGQR3ql2Rlh40PfegQErNps26kTDWUmrQFvb56k6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EQaAL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C9EEA0">
                    <w:pPr>
                      <w:pStyle w:val="14"/>
                      <w:rPr>
                        <w:rFonts w:hint="eastAsia" w:ascii="黑体" w:hAnsi="黑体" w:eastAsia="黑体" w:cs="黑体"/>
                        <w:sz w:val="16"/>
                        <w:szCs w:val="21"/>
                      </w:rPr>
                    </w:pPr>
                    <w:r>
                      <w:rPr>
                        <w:rFonts w:hint="eastAsia" w:ascii="黑体" w:hAnsi="黑体" w:eastAsia="黑体" w:cs="黑体"/>
                        <w:sz w:val="16"/>
                        <w:szCs w:val="21"/>
                      </w:rPr>
                      <w:t xml:space="preserve"> </w:t>
                    </w:r>
                    <w:r>
                      <w:rPr>
                        <w:rFonts w:hint="eastAsia" w:ascii="黑体" w:hAnsi="黑体" w:eastAsia="黑体" w:cs="黑体"/>
                        <w:sz w:val="16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16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16"/>
                        <w:szCs w:val="21"/>
                      </w:rPr>
                      <w:fldChar w:fldCharType="separate"/>
                    </w:r>
                    <w:r>
                      <w:rPr>
                        <w:rFonts w:ascii="黑体" w:hAnsi="黑体" w:eastAsia="黑体" w:cs="黑体"/>
                        <w:sz w:val="16"/>
                        <w:szCs w:val="21"/>
                      </w:rPr>
                      <w:t>III</w:t>
                    </w:r>
                    <w:r>
                      <w:rPr>
                        <w:rFonts w:hint="eastAsia" w:ascii="黑体" w:hAnsi="黑体" w:eastAsia="黑体" w:cs="黑体"/>
                        <w:sz w:val="16"/>
                        <w:szCs w:val="21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16"/>
                        <w:szCs w:val="21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F30DD7">
    <w:pPr>
      <w:pStyle w:val="1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040776">
                          <w:pPr>
                            <w:pStyle w:val="14"/>
                            <w:rPr>
                              <w:rFonts w:hint="eastAsia" w:ascii="黑体" w:hAnsi="黑体" w:eastAsia="黑体" w:cs="黑体"/>
                              <w:sz w:val="16"/>
                              <w:szCs w:val="21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16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16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16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16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黑体" w:hAnsi="黑体" w:eastAsia="黑体" w:cs="黑体"/>
                              <w:sz w:val="16"/>
                              <w:szCs w:val="21"/>
                            </w:rPr>
                            <w:t>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16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16"/>
                              <w:szCs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E1eNAs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sTV40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8040776">
                    <w:pPr>
                      <w:pStyle w:val="14"/>
                      <w:rPr>
                        <w:rFonts w:hint="eastAsia" w:ascii="黑体" w:hAnsi="黑体" w:eastAsia="黑体" w:cs="黑体"/>
                        <w:sz w:val="16"/>
                        <w:szCs w:val="21"/>
                      </w:rPr>
                    </w:pPr>
                    <w:r>
                      <w:rPr>
                        <w:rFonts w:hint="eastAsia" w:ascii="黑体" w:hAnsi="黑体" w:eastAsia="黑体" w:cs="黑体"/>
                        <w:sz w:val="16"/>
                        <w:szCs w:val="21"/>
                      </w:rPr>
                      <w:t xml:space="preserve"> </w:t>
                    </w:r>
                    <w:r>
                      <w:rPr>
                        <w:rFonts w:hint="eastAsia" w:ascii="黑体" w:hAnsi="黑体" w:eastAsia="黑体" w:cs="黑体"/>
                        <w:sz w:val="16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16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16"/>
                        <w:szCs w:val="21"/>
                      </w:rPr>
                      <w:fldChar w:fldCharType="separate"/>
                    </w:r>
                    <w:r>
                      <w:rPr>
                        <w:rFonts w:ascii="黑体" w:hAnsi="黑体" w:eastAsia="黑体" w:cs="黑体"/>
                        <w:sz w:val="16"/>
                        <w:szCs w:val="21"/>
                      </w:rPr>
                      <w:t>2</w:t>
                    </w:r>
                    <w:r>
                      <w:rPr>
                        <w:rFonts w:hint="eastAsia" w:ascii="黑体" w:hAnsi="黑体" w:eastAsia="黑体" w:cs="黑体"/>
                        <w:sz w:val="16"/>
                        <w:szCs w:val="21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16"/>
                        <w:szCs w:val="21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89121D">
    <w:pPr>
      <w:pStyle w:val="15"/>
      <w:jc w:val="right"/>
      <w:rPr>
        <w:rFonts w:hint="eastAsia" w:ascii="黑体" w:hAnsi="黑体" w:eastAsia="黑体" w:cs="黑体"/>
      </w:rPr>
    </w:pPr>
    <w:r>
      <w:rPr>
        <w:rFonts w:hint="eastAsia" w:ascii="黑体" w:hAnsi="黑体" w:eastAsia="黑体" w:cs="黑体"/>
      </w:rPr>
      <w:t>云南省公共资源交易平台在线签订合同操作手册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84EDB1"/>
    <w:multiLevelType w:val="singleLevel"/>
    <w:tmpl w:val="2B84EDB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8A011C5"/>
    <w:multiLevelType w:val="singleLevel"/>
    <w:tmpl w:val="48A011C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658435F6"/>
    <w:multiLevelType w:val="multilevel"/>
    <w:tmpl w:val="658435F6"/>
    <w:lvl w:ilvl="0" w:tentative="0">
      <w:start w:val="1"/>
      <w:numFmt w:val="decimal"/>
      <w:lvlText w:val="%1."/>
      <w:lvlJc w:val="left"/>
      <w:pPr>
        <w:ind w:left="999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 w:ascii="仿宋_GB2312" w:eastAsia="仿宋_GB2312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eastAsia" w:ascii="仿宋_GB2312" w:eastAsia="仿宋_GB2312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eastAsia" w:ascii="仿宋_GB2312" w:eastAsia="仿宋_GB2312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003F32DD"/>
    <w:rsid w:val="00000520"/>
    <w:rsid w:val="00005C89"/>
    <w:rsid w:val="00006D6F"/>
    <w:rsid w:val="00014BE9"/>
    <w:rsid w:val="00020049"/>
    <w:rsid w:val="00025FD8"/>
    <w:rsid w:val="0002714F"/>
    <w:rsid w:val="00031DEA"/>
    <w:rsid w:val="000341CD"/>
    <w:rsid w:val="0003556E"/>
    <w:rsid w:val="0004240F"/>
    <w:rsid w:val="00044EF5"/>
    <w:rsid w:val="00045E7E"/>
    <w:rsid w:val="00047BFD"/>
    <w:rsid w:val="00052425"/>
    <w:rsid w:val="00052607"/>
    <w:rsid w:val="00057A95"/>
    <w:rsid w:val="000647A8"/>
    <w:rsid w:val="00066497"/>
    <w:rsid w:val="00073053"/>
    <w:rsid w:val="0007386D"/>
    <w:rsid w:val="00073948"/>
    <w:rsid w:val="00073FE2"/>
    <w:rsid w:val="000767CD"/>
    <w:rsid w:val="00081991"/>
    <w:rsid w:val="0008689C"/>
    <w:rsid w:val="00087072"/>
    <w:rsid w:val="00090775"/>
    <w:rsid w:val="000965B3"/>
    <w:rsid w:val="0009798F"/>
    <w:rsid w:val="000A05CE"/>
    <w:rsid w:val="000A3991"/>
    <w:rsid w:val="000A39DA"/>
    <w:rsid w:val="000B1ECB"/>
    <w:rsid w:val="000B3549"/>
    <w:rsid w:val="000B5138"/>
    <w:rsid w:val="000C006F"/>
    <w:rsid w:val="000C47D9"/>
    <w:rsid w:val="000D3820"/>
    <w:rsid w:val="000D4960"/>
    <w:rsid w:val="000D7D6E"/>
    <w:rsid w:val="000E2724"/>
    <w:rsid w:val="000E6DB4"/>
    <w:rsid w:val="000E71BB"/>
    <w:rsid w:val="000F3327"/>
    <w:rsid w:val="001045FF"/>
    <w:rsid w:val="00106CAA"/>
    <w:rsid w:val="00112B23"/>
    <w:rsid w:val="00115FBA"/>
    <w:rsid w:val="00126923"/>
    <w:rsid w:val="001325E4"/>
    <w:rsid w:val="00134EC8"/>
    <w:rsid w:val="00135D65"/>
    <w:rsid w:val="001419FD"/>
    <w:rsid w:val="00144491"/>
    <w:rsid w:val="00146F3F"/>
    <w:rsid w:val="0014706E"/>
    <w:rsid w:val="001515E2"/>
    <w:rsid w:val="00151C7B"/>
    <w:rsid w:val="00154C82"/>
    <w:rsid w:val="0015585A"/>
    <w:rsid w:val="00157358"/>
    <w:rsid w:val="00161A2B"/>
    <w:rsid w:val="0016249A"/>
    <w:rsid w:val="00166C80"/>
    <w:rsid w:val="00167C28"/>
    <w:rsid w:val="00171E6D"/>
    <w:rsid w:val="00172165"/>
    <w:rsid w:val="00174F74"/>
    <w:rsid w:val="0017733E"/>
    <w:rsid w:val="00181603"/>
    <w:rsid w:val="00187863"/>
    <w:rsid w:val="001A2CC5"/>
    <w:rsid w:val="001A6D09"/>
    <w:rsid w:val="001B4A80"/>
    <w:rsid w:val="001C3C5D"/>
    <w:rsid w:val="001D1B51"/>
    <w:rsid w:val="001D51DA"/>
    <w:rsid w:val="001D69AA"/>
    <w:rsid w:val="001E0936"/>
    <w:rsid w:val="001E0E5C"/>
    <w:rsid w:val="001E5F2E"/>
    <w:rsid w:val="001E7F80"/>
    <w:rsid w:val="001F00C6"/>
    <w:rsid w:val="001F27FB"/>
    <w:rsid w:val="001F2ED3"/>
    <w:rsid w:val="001F392C"/>
    <w:rsid w:val="001F782E"/>
    <w:rsid w:val="002031F9"/>
    <w:rsid w:val="00214CC8"/>
    <w:rsid w:val="00214F58"/>
    <w:rsid w:val="002154BF"/>
    <w:rsid w:val="002206D5"/>
    <w:rsid w:val="0022085E"/>
    <w:rsid w:val="00231F6D"/>
    <w:rsid w:val="002347EA"/>
    <w:rsid w:val="002356F0"/>
    <w:rsid w:val="002464AA"/>
    <w:rsid w:val="0025114A"/>
    <w:rsid w:val="002521EF"/>
    <w:rsid w:val="00255A62"/>
    <w:rsid w:val="00256DCE"/>
    <w:rsid w:val="00264A84"/>
    <w:rsid w:val="0026714D"/>
    <w:rsid w:val="002715C9"/>
    <w:rsid w:val="002724BC"/>
    <w:rsid w:val="00281C68"/>
    <w:rsid w:val="0028429E"/>
    <w:rsid w:val="002876B2"/>
    <w:rsid w:val="002879AB"/>
    <w:rsid w:val="0029157C"/>
    <w:rsid w:val="002948B3"/>
    <w:rsid w:val="00296DB5"/>
    <w:rsid w:val="002A0A62"/>
    <w:rsid w:val="002A1BF9"/>
    <w:rsid w:val="002A7A07"/>
    <w:rsid w:val="002A7B8B"/>
    <w:rsid w:val="002B2BB9"/>
    <w:rsid w:val="002C147F"/>
    <w:rsid w:val="002C57B7"/>
    <w:rsid w:val="002C76D4"/>
    <w:rsid w:val="002D022F"/>
    <w:rsid w:val="002D3BEA"/>
    <w:rsid w:val="002E41C9"/>
    <w:rsid w:val="002E7F97"/>
    <w:rsid w:val="002F2E39"/>
    <w:rsid w:val="00300962"/>
    <w:rsid w:val="0030559F"/>
    <w:rsid w:val="003107D5"/>
    <w:rsid w:val="0031100B"/>
    <w:rsid w:val="00314A9C"/>
    <w:rsid w:val="00315C79"/>
    <w:rsid w:val="00320165"/>
    <w:rsid w:val="0032242E"/>
    <w:rsid w:val="0032595D"/>
    <w:rsid w:val="00327B5E"/>
    <w:rsid w:val="003322B9"/>
    <w:rsid w:val="00333052"/>
    <w:rsid w:val="003347A4"/>
    <w:rsid w:val="00342F03"/>
    <w:rsid w:val="003446E0"/>
    <w:rsid w:val="003477E5"/>
    <w:rsid w:val="00350AFF"/>
    <w:rsid w:val="0035236A"/>
    <w:rsid w:val="00355193"/>
    <w:rsid w:val="00356759"/>
    <w:rsid w:val="00361598"/>
    <w:rsid w:val="00362DBA"/>
    <w:rsid w:val="00363A74"/>
    <w:rsid w:val="00364DB8"/>
    <w:rsid w:val="0037033D"/>
    <w:rsid w:val="00376075"/>
    <w:rsid w:val="00377141"/>
    <w:rsid w:val="00377292"/>
    <w:rsid w:val="00377609"/>
    <w:rsid w:val="00382183"/>
    <w:rsid w:val="0038247D"/>
    <w:rsid w:val="0038277F"/>
    <w:rsid w:val="00385859"/>
    <w:rsid w:val="00385870"/>
    <w:rsid w:val="00385FB8"/>
    <w:rsid w:val="00386CC3"/>
    <w:rsid w:val="0038797B"/>
    <w:rsid w:val="003908EF"/>
    <w:rsid w:val="00393426"/>
    <w:rsid w:val="00393C31"/>
    <w:rsid w:val="00395E83"/>
    <w:rsid w:val="003B1388"/>
    <w:rsid w:val="003B20D4"/>
    <w:rsid w:val="003B2E94"/>
    <w:rsid w:val="003B45CF"/>
    <w:rsid w:val="003C1A63"/>
    <w:rsid w:val="003D32B2"/>
    <w:rsid w:val="003D3598"/>
    <w:rsid w:val="003D42F2"/>
    <w:rsid w:val="003D6309"/>
    <w:rsid w:val="003E14AE"/>
    <w:rsid w:val="003E2754"/>
    <w:rsid w:val="003E61EE"/>
    <w:rsid w:val="003E6889"/>
    <w:rsid w:val="003E74E6"/>
    <w:rsid w:val="003F2F0D"/>
    <w:rsid w:val="003F32DD"/>
    <w:rsid w:val="00401D35"/>
    <w:rsid w:val="004054FA"/>
    <w:rsid w:val="004104A4"/>
    <w:rsid w:val="00412F33"/>
    <w:rsid w:val="00417731"/>
    <w:rsid w:val="0042001F"/>
    <w:rsid w:val="00421B7F"/>
    <w:rsid w:val="0042260B"/>
    <w:rsid w:val="0042335C"/>
    <w:rsid w:val="004313EB"/>
    <w:rsid w:val="004344D2"/>
    <w:rsid w:val="0043575E"/>
    <w:rsid w:val="00437EF0"/>
    <w:rsid w:val="004428B2"/>
    <w:rsid w:val="004509AA"/>
    <w:rsid w:val="0045141F"/>
    <w:rsid w:val="00451B84"/>
    <w:rsid w:val="00453013"/>
    <w:rsid w:val="00455289"/>
    <w:rsid w:val="00457661"/>
    <w:rsid w:val="0046168E"/>
    <w:rsid w:val="00463498"/>
    <w:rsid w:val="00466957"/>
    <w:rsid w:val="00467A6C"/>
    <w:rsid w:val="00470483"/>
    <w:rsid w:val="004814CF"/>
    <w:rsid w:val="00482BE5"/>
    <w:rsid w:val="00484A47"/>
    <w:rsid w:val="0049272C"/>
    <w:rsid w:val="00493960"/>
    <w:rsid w:val="00494D51"/>
    <w:rsid w:val="004977F1"/>
    <w:rsid w:val="0049793A"/>
    <w:rsid w:val="004A13CD"/>
    <w:rsid w:val="004A24EF"/>
    <w:rsid w:val="004A7894"/>
    <w:rsid w:val="004B0D55"/>
    <w:rsid w:val="004C3A97"/>
    <w:rsid w:val="004C568E"/>
    <w:rsid w:val="004C61BA"/>
    <w:rsid w:val="004C777C"/>
    <w:rsid w:val="004C7DDC"/>
    <w:rsid w:val="004D6C01"/>
    <w:rsid w:val="004E64E1"/>
    <w:rsid w:val="004E7145"/>
    <w:rsid w:val="004F28DF"/>
    <w:rsid w:val="00504A9C"/>
    <w:rsid w:val="005061F5"/>
    <w:rsid w:val="0051209B"/>
    <w:rsid w:val="00514F2D"/>
    <w:rsid w:val="005154E6"/>
    <w:rsid w:val="00515629"/>
    <w:rsid w:val="005169F8"/>
    <w:rsid w:val="00517147"/>
    <w:rsid w:val="00522DBD"/>
    <w:rsid w:val="005234F4"/>
    <w:rsid w:val="00523F58"/>
    <w:rsid w:val="00524046"/>
    <w:rsid w:val="00527912"/>
    <w:rsid w:val="005314E9"/>
    <w:rsid w:val="00532066"/>
    <w:rsid w:val="005325E0"/>
    <w:rsid w:val="00535E8D"/>
    <w:rsid w:val="00540B9D"/>
    <w:rsid w:val="00541F60"/>
    <w:rsid w:val="0054240B"/>
    <w:rsid w:val="00543A75"/>
    <w:rsid w:val="00545941"/>
    <w:rsid w:val="00547312"/>
    <w:rsid w:val="00547927"/>
    <w:rsid w:val="00551A57"/>
    <w:rsid w:val="00552BF1"/>
    <w:rsid w:val="005533C7"/>
    <w:rsid w:val="00553574"/>
    <w:rsid w:val="005556BC"/>
    <w:rsid w:val="005612BE"/>
    <w:rsid w:val="00564C9E"/>
    <w:rsid w:val="00566344"/>
    <w:rsid w:val="00567113"/>
    <w:rsid w:val="0057044C"/>
    <w:rsid w:val="00571913"/>
    <w:rsid w:val="00573701"/>
    <w:rsid w:val="005771C1"/>
    <w:rsid w:val="00582045"/>
    <w:rsid w:val="00587523"/>
    <w:rsid w:val="00594E05"/>
    <w:rsid w:val="005A1E24"/>
    <w:rsid w:val="005A4408"/>
    <w:rsid w:val="005A5F8C"/>
    <w:rsid w:val="005C155F"/>
    <w:rsid w:val="005C5DE2"/>
    <w:rsid w:val="005C6E75"/>
    <w:rsid w:val="005D137B"/>
    <w:rsid w:val="005D1ECC"/>
    <w:rsid w:val="005E09A1"/>
    <w:rsid w:val="005E0F76"/>
    <w:rsid w:val="005E3DC6"/>
    <w:rsid w:val="005E61BA"/>
    <w:rsid w:val="005E6DE5"/>
    <w:rsid w:val="005E7553"/>
    <w:rsid w:val="005F2545"/>
    <w:rsid w:val="005F76F1"/>
    <w:rsid w:val="005F7C35"/>
    <w:rsid w:val="00601DE6"/>
    <w:rsid w:val="00603006"/>
    <w:rsid w:val="00603225"/>
    <w:rsid w:val="00604EE3"/>
    <w:rsid w:val="006122F6"/>
    <w:rsid w:val="00617688"/>
    <w:rsid w:val="00620A7E"/>
    <w:rsid w:val="0062138E"/>
    <w:rsid w:val="00621578"/>
    <w:rsid w:val="006215A5"/>
    <w:rsid w:val="00622166"/>
    <w:rsid w:val="00623F21"/>
    <w:rsid w:val="00625E91"/>
    <w:rsid w:val="0062746C"/>
    <w:rsid w:val="00627ACE"/>
    <w:rsid w:val="00631BA2"/>
    <w:rsid w:val="00640072"/>
    <w:rsid w:val="006447A5"/>
    <w:rsid w:val="0065044F"/>
    <w:rsid w:val="006533A9"/>
    <w:rsid w:val="0065763C"/>
    <w:rsid w:val="0066658A"/>
    <w:rsid w:val="006667CD"/>
    <w:rsid w:val="006677B0"/>
    <w:rsid w:val="00674CCA"/>
    <w:rsid w:val="00675C80"/>
    <w:rsid w:val="00677C14"/>
    <w:rsid w:val="00684B68"/>
    <w:rsid w:val="00686865"/>
    <w:rsid w:val="006873AB"/>
    <w:rsid w:val="00690770"/>
    <w:rsid w:val="006928CF"/>
    <w:rsid w:val="006951A7"/>
    <w:rsid w:val="006A08CB"/>
    <w:rsid w:val="006A0A34"/>
    <w:rsid w:val="006A2409"/>
    <w:rsid w:val="006A349E"/>
    <w:rsid w:val="006A5012"/>
    <w:rsid w:val="006A5990"/>
    <w:rsid w:val="006A62FF"/>
    <w:rsid w:val="006A7152"/>
    <w:rsid w:val="006B153F"/>
    <w:rsid w:val="006B572F"/>
    <w:rsid w:val="006B5F7E"/>
    <w:rsid w:val="006B5FB0"/>
    <w:rsid w:val="006B7ABA"/>
    <w:rsid w:val="006C4CA0"/>
    <w:rsid w:val="006C63E3"/>
    <w:rsid w:val="006C7779"/>
    <w:rsid w:val="006D29E8"/>
    <w:rsid w:val="006D4348"/>
    <w:rsid w:val="006D6139"/>
    <w:rsid w:val="006D7216"/>
    <w:rsid w:val="006D78D9"/>
    <w:rsid w:val="006F0B30"/>
    <w:rsid w:val="006F5828"/>
    <w:rsid w:val="006F5F15"/>
    <w:rsid w:val="006F60F7"/>
    <w:rsid w:val="00700C20"/>
    <w:rsid w:val="00701F77"/>
    <w:rsid w:val="007133C8"/>
    <w:rsid w:val="007163F5"/>
    <w:rsid w:val="00732414"/>
    <w:rsid w:val="00735B89"/>
    <w:rsid w:val="00736117"/>
    <w:rsid w:val="00741229"/>
    <w:rsid w:val="007437E9"/>
    <w:rsid w:val="00745004"/>
    <w:rsid w:val="007466FC"/>
    <w:rsid w:val="00750569"/>
    <w:rsid w:val="00754D82"/>
    <w:rsid w:val="00760EE7"/>
    <w:rsid w:val="007653AE"/>
    <w:rsid w:val="00765ED0"/>
    <w:rsid w:val="007676F7"/>
    <w:rsid w:val="00771A9B"/>
    <w:rsid w:val="00772192"/>
    <w:rsid w:val="00772606"/>
    <w:rsid w:val="007767F6"/>
    <w:rsid w:val="00777248"/>
    <w:rsid w:val="007777D9"/>
    <w:rsid w:val="007801A5"/>
    <w:rsid w:val="00781043"/>
    <w:rsid w:val="00782747"/>
    <w:rsid w:val="00782BBD"/>
    <w:rsid w:val="00785D1F"/>
    <w:rsid w:val="00786967"/>
    <w:rsid w:val="00792854"/>
    <w:rsid w:val="007931BF"/>
    <w:rsid w:val="007A0EA2"/>
    <w:rsid w:val="007A43FE"/>
    <w:rsid w:val="007A7B1A"/>
    <w:rsid w:val="007B163C"/>
    <w:rsid w:val="007B763B"/>
    <w:rsid w:val="007C18B9"/>
    <w:rsid w:val="007C5D56"/>
    <w:rsid w:val="007C6073"/>
    <w:rsid w:val="007C7D91"/>
    <w:rsid w:val="007D13D8"/>
    <w:rsid w:val="007D53F6"/>
    <w:rsid w:val="007D581E"/>
    <w:rsid w:val="007D5B14"/>
    <w:rsid w:val="007D671A"/>
    <w:rsid w:val="007E1BFB"/>
    <w:rsid w:val="007E2B35"/>
    <w:rsid w:val="007E30A0"/>
    <w:rsid w:val="007E3DB7"/>
    <w:rsid w:val="007E6D0E"/>
    <w:rsid w:val="007E6F38"/>
    <w:rsid w:val="007E6FC8"/>
    <w:rsid w:val="007F026A"/>
    <w:rsid w:val="007F093A"/>
    <w:rsid w:val="007F76DC"/>
    <w:rsid w:val="00802A09"/>
    <w:rsid w:val="00811021"/>
    <w:rsid w:val="00811187"/>
    <w:rsid w:val="00812BF7"/>
    <w:rsid w:val="00814D23"/>
    <w:rsid w:val="0081769F"/>
    <w:rsid w:val="0082052C"/>
    <w:rsid w:val="008222D7"/>
    <w:rsid w:val="008244F9"/>
    <w:rsid w:val="00833050"/>
    <w:rsid w:val="00836BC7"/>
    <w:rsid w:val="0084564E"/>
    <w:rsid w:val="00846D0A"/>
    <w:rsid w:val="008470D9"/>
    <w:rsid w:val="00854743"/>
    <w:rsid w:val="0086619E"/>
    <w:rsid w:val="00867E99"/>
    <w:rsid w:val="00873BF0"/>
    <w:rsid w:val="00873E23"/>
    <w:rsid w:val="00874D45"/>
    <w:rsid w:val="00875FE6"/>
    <w:rsid w:val="0088362E"/>
    <w:rsid w:val="00886EAC"/>
    <w:rsid w:val="00887FBC"/>
    <w:rsid w:val="008901D8"/>
    <w:rsid w:val="00893F6C"/>
    <w:rsid w:val="00895520"/>
    <w:rsid w:val="008A3010"/>
    <w:rsid w:val="008A4366"/>
    <w:rsid w:val="008A4540"/>
    <w:rsid w:val="008B0D78"/>
    <w:rsid w:val="008B33B1"/>
    <w:rsid w:val="008B48AF"/>
    <w:rsid w:val="008B53A5"/>
    <w:rsid w:val="008C1200"/>
    <w:rsid w:val="008C1964"/>
    <w:rsid w:val="008D0FE9"/>
    <w:rsid w:val="008D1A5F"/>
    <w:rsid w:val="008D1E6D"/>
    <w:rsid w:val="008D51D7"/>
    <w:rsid w:val="008D51FC"/>
    <w:rsid w:val="008D5DF8"/>
    <w:rsid w:val="008E140F"/>
    <w:rsid w:val="008F03D1"/>
    <w:rsid w:val="008F1FFF"/>
    <w:rsid w:val="008F5124"/>
    <w:rsid w:val="008F548D"/>
    <w:rsid w:val="008F6FBC"/>
    <w:rsid w:val="009029C2"/>
    <w:rsid w:val="00904E91"/>
    <w:rsid w:val="00905918"/>
    <w:rsid w:val="00905ACA"/>
    <w:rsid w:val="00913706"/>
    <w:rsid w:val="00914BE0"/>
    <w:rsid w:val="00914D5B"/>
    <w:rsid w:val="00942E6E"/>
    <w:rsid w:val="009455AD"/>
    <w:rsid w:val="0094676E"/>
    <w:rsid w:val="0094755A"/>
    <w:rsid w:val="009475A8"/>
    <w:rsid w:val="00955CC2"/>
    <w:rsid w:val="0095644F"/>
    <w:rsid w:val="00960073"/>
    <w:rsid w:val="00961C5A"/>
    <w:rsid w:val="009632B2"/>
    <w:rsid w:val="00964484"/>
    <w:rsid w:val="00966495"/>
    <w:rsid w:val="00966831"/>
    <w:rsid w:val="009677F6"/>
    <w:rsid w:val="00976CE6"/>
    <w:rsid w:val="00980279"/>
    <w:rsid w:val="00982FE4"/>
    <w:rsid w:val="00987670"/>
    <w:rsid w:val="0099054A"/>
    <w:rsid w:val="0099388D"/>
    <w:rsid w:val="00994F47"/>
    <w:rsid w:val="00996356"/>
    <w:rsid w:val="00997C45"/>
    <w:rsid w:val="009B0FC2"/>
    <w:rsid w:val="009B45A4"/>
    <w:rsid w:val="009B5C6B"/>
    <w:rsid w:val="009B6999"/>
    <w:rsid w:val="009B7DD9"/>
    <w:rsid w:val="009C16FA"/>
    <w:rsid w:val="009C192B"/>
    <w:rsid w:val="009C1A38"/>
    <w:rsid w:val="009C4548"/>
    <w:rsid w:val="009C59B2"/>
    <w:rsid w:val="009C61A2"/>
    <w:rsid w:val="009C7959"/>
    <w:rsid w:val="009D2447"/>
    <w:rsid w:val="009D376C"/>
    <w:rsid w:val="009D6E1F"/>
    <w:rsid w:val="009E1D67"/>
    <w:rsid w:val="009E4FBC"/>
    <w:rsid w:val="009E54B6"/>
    <w:rsid w:val="009E6B4A"/>
    <w:rsid w:val="009F2485"/>
    <w:rsid w:val="009F305C"/>
    <w:rsid w:val="009F3328"/>
    <w:rsid w:val="00A01FFA"/>
    <w:rsid w:val="00A04585"/>
    <w:rsid w:val="00A13643"/>
    <w:rsid w:val="00A13DE6"/>
    <w:rsid w:val="00A159E8"/>
    <w:rsid w:val="00A164A7"/>
    <w:rsid w:val="00A22759"/>
    <w:rsid w:val="00A342D7"/>
    <w:rsid w:val="00A36CD9"/>
    <w:rsid w:val="00A411AF"/>
    <w:rsid w:val="00A42330"/>
    <w:rsid w:val="00A456BC"/>
    <w:rsid w:val="00A47463"/>
    <w:rsid w:val="00A528F0"/>
    <w:rsid w:val="00A54D9E"/>
    <w:rsid w:val="00A60A83"/>
    <w:rsid w:val="00A620D5"/>
    <w:rsid w:val="00A638E3"/>
    <w:rsid w:val="00A639F3"/>
    <w:rsid w:val="00A63B35"/>
    <w:rsid w:val="00A67555"/>
    <w:rsid w:val="00A722E8"/>
    <w:rsid w:val="00A752AA"/>
    <w:rsid w:val="00A76F32"/>
    <w:rsid w:val="00A776D2"/>
    <w:rsid w:val="00A80B2F"/>
    <w:rsid w:val="00A8271E"/>
    <w:rsid w:val="00A9018E"/>
    <w:rsid w:val="00A94E4D"/>
    <w:rsid w:val="00A96590"/>
    <w:rsid w:val="00A96C5A"/>
    <w:rsid w:val="00AA118B"/>
    <w:rsid w:val="00AA4032"/>
    <w:rsid w:val="00AA58E5"/>
    <w:rsid w:val="00AA7D73"/>
    <w:rsid w:val="00AB4DE7"/>
    <w:rsid w:val="00AC55B6"/>
    <w:rsid w:val="00AC722D"/>
    <w:rsid w:val="00AD122A"/>
    <w:rsid w:val="00AD4E49"/>
    <w:rsid w:val="00AD5ABE"/>
    <w:rsid w:val="00AD7AA1"/>
    <w:rsid w:val="00AE1BFA"/>
    <w:rsid w:val="00AE40A8"/>
    <w:rsid w:val="00AF598B"/>
    <w:rsid w:val="00B01220"/>
    <w:rsid w:val="00B04A9C"/>
    <w:rsid w:val="00B10230"/>
    <w:rsid w:val="00B1211F"/>
    <w:rsid w:val="00B25F3D"/>
    <w:rsid w:val="00B309C0"/>
    <w:rsid w:val="00B328C6"/>
    <w:rsid w:val="00B33847"/>
    <w:rsid w:val="00B3412F"/>
    <w:rsid w:val="00B35FCF"/>
    <w:rsid w:val="00B36696"/>
    <w:rsid w:val="00B37482"/>
    <w:rsid w:val="00B40AC4"/>
    <w:rsid w:val="00B41B99"/>
    <w:rsid w:val="00B4324B"/>
    <w:rsid w:val="00B51968"/>
    <w:rsid w:val="00B6080E"/>
    <w:rsid w:val="00B61978"/>
    <w:rsid w:val="00B6417E"/>
    <w:rsid w:val="00B6652E"/>
    <w:rsid w:val="00B70B45"/>
    <w:rsid w:val="00B745A2"/>
    <w:rsid w:val="00B759CC"/>
    <w:rsid w:val="00B76CA5"/>
    <w:rsid w:val="00B81014"/>
    <w:rsid w:val="00B82B1C"/>
    <w:rsid w:val="00B83638"/>
    <w:rsid w:val="00B85BB0"/>
    <w:rsid w:val="00B87554"/>
    <w:rsid w:val="00B9165D"/>
    <w:rsid w:val="00B9204B"/>
    <w:rsid w:val="00BA1F73"/>
    <w:rsid w:val="00BA4D58"/>
    <w:rsid w:val="00BB25DF"/>
    <w:rsid w:val="00BB3206"/>
    <w:rsid w:val="00BC239B"/>
    <w:rsid w:val="00BC5DE2"/>
    <w:rsid w:val="00BC645A"/>
    <w:rsid w:val="00BD3257"/>
    <w:rsid w:val="00BD35BD"/>
    <w:rsid w:val="00BD6425"/>
    <w:rsid w:val="00BE3999"/>
    <w:rsid w:val="00BE7294"/>
    <w:rsid w:val="00BF0D65"/>
    <w:rsid w:val="00BF2C16"/>
    <w:rsid w:val="00C00753"/>
    <w:rsid w:val="00C01573"/>
    <w:rsid w:val="00C06300"/>
    <w:rsid w:val="00C067D3"/>
    <w:rsid w:val="00C10B8A"/>
    <w:rsid w:val="00C13B8B"/>
    <w:rsid w:val="00C14D38"/>
    <w:rsid w:val="00C16B8D"/>
    <w:rsid w:val="00C23D1F"/>
    <w:rsid w:val="00C306C6"/>
    <w:rsid w:val="00C32C8C"/>
    <w:rsid w:val="00C3429B"/>
    <w:rsid w:val="00C34EA2"/>
    <w:rsid w:val="00C402FB"/>
    <w:rsid w:val="00C43219"/>
    <w:rsid w:val="00C47F19"/>
    <w:rsid w:val="00C54360"/>
    <w:rsid w:val="00C55034"/>
    <w:rsid w:val="00C56794"/>
    <w:rsid w:val="00C57D4F"/>
    <w:rsid w:val="00C612E8"/>
    <w:rsid w:val="00C651BB"/>
    <w:rsid w:val="00C73174"/>
    <w:rsid w:val="00C753F9"/>
    <w:rsid w:val="00C759CC"/>
    <w:rsid w:val="00C76107"/>
    <w:rsid w:val="00C7746B"/>
    <w:rsid w:val="00C80A2E"/>
    <w:rsid w:val="00C80BEE"/>
    <w:rsid w:val="00C830D6"/>
    <w:rsid w:val="00C83927"/>
    <w:rsid w:val="00C84DC4"/>
    <w:rsid w:val="00C965EB"/>
    <w:rsid w:val="00C97DBC"/>
    <w:rsid w:val="00CA286E"/>
    <w:rsid w:val="00CA2B3D"/>
    <w:rsid w:val="00CA3272"/>
    <w:rsid w:val="00CA4259"/>
    <w:rsid w:val="00CA6755"/>
    <w:rsid w:val="00CB2CAD"/>
    <w:rsid w:val="00CB520C"/>
    <w:rsid w:val="00CC04A1"/>
    <w:rsid w:val="00CC276C"/>
    <w:rsid w:val="00CC44BB"/>
    <w:rsid w:val="00CC4B86"/>
    <w:rsid w:val="00CD0ECA"/>
    <w:rsid w:val="00CD6567"/>
    <w:rsid w:val="00CD6DCE"/>
    <w:rsid w:val="00CE06E9"/>
    <w:rsid w:val="00CE08B9"/>
    <w:rsid w:val="00CE197F"/>
    <w:rsid w:val="00CE1990"/>
    <w:rsid w:val="00CE2ED0"/>
    <w:rsid w:val="00CE369A"/>
    <w:rsid w:val="00CE4D2A"/>
    <w:rsid w:val="00CE6D9E"/>
    <w:rsid w:val="00CE6E23"/>
    <w:rsid w:val="00CF15B2"/>
    <w:rsid w:val="00CF2D2A"/>
    <w:rsid w:val="00CF60C4"/>
    <w:rsid w:val="00D00687"/>
    <w:rsid w:val="00D064AF"/>
    <w:rsid w:val="00D075D5"/>
    <w:rsid w:val="00D14B59"/>
    <w:rsid w:val="00D238FF"/>
    <w:rsid w:val="00D26C3F"/>
    <w:rsid w:val="00D322B1"/>
    <w:rsid w:val="00D336FC"/>
    <w:rsid w:val="00D36461"/>
    <w:rsid w:val="00D40533"/>
    <w:rsid w:val="00D407BA"/>
    <w:rsid w:val="00D43312"/>
    <w:rsid w:val="00D44DFD"/>
    <w:rsid w:val="00D44E66"/>
    <w:rsid w:val="00D45B36"/>
    <w:rsid w:val="00D51010"/>
    <w:rsid w:val="00D6533A"/>
    <w:rsid w:val="00D676AD"/>
    <w:rsid w:val="00D70B42"/>
    <w:rsid w:val="00D72785"/>
    <w:rsid w:val="00D7286A"/>
    <w:rsid w:val="00D72C54"/>
    <w:rsid w:val="00D7359E"/>
    <w:rsid w:val="00D747AD"/>
    <w:rsid w:val="00D74B9E"/>
    <w:rsid w:val="00D768DB"/>
    <w:rsid w:val="00D8053A"/>
    <w:rsid w:val="00D8081E"/>
    <w:rsid w:val="00D848CF"/>
    <w:rsid w:val="00D9384E"/>
    <w:rsid w:val="00D95056"/>
    <w:rsid w:val="00DA0F67"/>
    <w:rsid w:val="00DA1CF8"/>
    <w:rsid w:val="00DB3F16"/>
    <w:rsid w:val="00DB6693"/>
    <w:rsid w:val="00DC1B83"/>
    <w:rsid w:val="00DC281D"/>
    <w:rsid w:val="00DC2A2D"/>
    <w:rsid w:val="00DC2E53"/>
    <w:rsid w:val="00DC5B7A"/>
    <w:rsid w:val="00DD406E"/>
    <w:rsid w:val="00DD4C95"/>
    <w:rsid w:val="00DD54AB"/>
    <w:rsid w:val="00DD678E"/>
    <w:rsid w:val="00DD7488"/>
    <w:rsid w:val="00DE3601"/>
    <w:rsid w:val="00DF1DE9"/>
    <w:rsid w:val="00DF376F"/>
    <w:rsid w:val="00E0297E"/>
    <w:rsid w:val="00E04534"/>
    <w:rsid w:val="00E05D30"/>
    <w:rsid w:val="00E0760F"/>
    <w:rsid w:val="00E109DC"/>
    <w:rsid w:val="00E11779"/>
    <w:rsid w:val="00E12818"/>
    <w:rsid w:val="00E156E7"/>
    <w:rsid w:val="00E16F40"/>
    <w:rsid w:val="00E21AA1"/>
    <w:rsid w:val="00E25DEF"/>
    <w:rsid w:val="00E315A2"/>
    <w:rsid w:val="00E32BD1"/>
    <w:rsid w:val="00E33229"/>
    <w:rsid w:val="00E3427E"/>
    <w:rsid w:val="00E36D37"/>
    <w:rsid w:val="00E40746"/>
    <w:rsid w:val="00E418C3"/>
    <w:rsid w:val="00E5194F"/>
    <w:rsid w:val="00E57A99"/>
    <w:rsid w:val="00E57E65"/>
    <w:rsid w:val="00E62BE1"/>
    <w:rsid w:val="00E65858"/>
    <w:rsid w:val="00E66494"/>
    <w:rsid w:val="00E66954"/>
    <w:rsid w:val="00E727DB"/>
    <w:rsid w:val="00E873DB"/>
    <w:rsid w:val="00EA01C9"/>
    <w:rsid w:val="00EA05E2"/>
    <w:rsid w:val="00EB1365"/>
    <w:rsid w:val="00EC62F2"/>
    <w:rsid w:val="00EC64BA"/>
    <w:rsid w:val="00EC7CFE"/>
    <w:rsid w:val="00ED07D8"/>
    <w:rsid w:val="00ED24EC"/>
    <w:rsid w:val="00ED3755"/>
    <w:rsid w:val="00ED3CE5"/>
    <w:rsid w:val="00EE03BD"/>
    <w:rsid w:val="00EE2038"/>
    <w:rsid w:val="00EF036E"/>
    <w:rsid w:val="00F10BBB"/>
    <w:rsid w:val="00F1240C"/>
    <w:rsid w:val="00F16D92"/>
    <w:rsid w:val="00F228C0"/>
    <w:rsid w:val="00F23DB2"/>
    <w:rsid w:val="00F241CA"/>
    <w:rsid w:val="00F27697"/>
    <w:rsid w:val="00F32442"/>
    <w:rsid w:val="00F32A98"/>
    <w:rsid w:val="00F36812"/>
    <w:rsid w:val="00F40A11"/>
    <w:rsid w:val="00F40DB0"/>
    <w:rsid w:val="00F43E82"/>
    <w:rsid w:val="00F47C90"/>
    <w:rsid w:val="00F51510"/>
    <w:rsid w:val="00F51FD7"/>
    <w:rsid w:val="00F5455C"/>
    <w:rsid w:val="00F5645D"/>
    <w:rsid w:val="00F5696B"/>
    <w:rsid w:val="00F56B96"/>
    <w:rsid w:val="00F56BF3"/>
    <w:rsid w:val="00F61E79"/>
    <w:rsid w:val="00F64AE6"/>
    <w:rsid w:val="00F71A4D"/>
    <w:rsid w:val="00F72D2F"/>
    <w:rsid w:val="00F72F79"/>
    <w:rsid w:val="00F80DDE"/>
    <w:rsid w:val="00F86D71"/>
    <w:rsid w:val="00F92269"/>
    <w:rsid w:val="00F9465E"/>
    <w:rsid w:val="00F9557C"/>
    <w:rsid w:val="00FA182B"/>
    <w:rsid w:val="00FA3122"/>
    <w:rsid w:val="00FA48E1"/>
    <w:rsid w:val="00FA74E0"/>
    <w:rsid w:val="00FB2606"/>
    <w:rsid w:val="00FB2E53"/>
    <w:rsid w:val="00FB61D7"/>
    <w:rsid w:val="00FC0249"/>
    <w:rsid w:val="00FC21CB"/>
    <w:rsid w:val="00FC2D2B"/>
    <w:rsid w:val="00FC5FCF"/>
    <w:rsid w:val="00FC62FE"/>
    <w:rsid w:val="00FD638E"/>
    <w:rsid w:val="00FD6BF9"/>
    <w:rsid w:val="00FD6E53"/>
    <w:rsid w:val="00FE102B"/>
    <w:rsid w:val="00FE334B"/>
    <w:rsid w:val="00FE4C7C"/>
    <w:rsid w:val="00FE5DA9"/>
    <w:rsid w:val="00FE663E"/>
    <w:rsid w:val="00FE779E"/>
    <w:rsid w:val="00FF0811"/>
    <w:rsid w:val="00FF4999"/>
    <w:rsid w:val="00FF596E"/>
    <w:rsid w:val="00FF60B7"/>
    <w:rsid w:val="00FF6281"/>
    <w:rsid w:val="00FF6D65"/>
    <w:rsid w:val="00FF745B"/>
    <w:rsid w:val="01443A28"/>
    <w:rsid w:val="01DB7ED5"/>
    <w:rsid w:val="0727718E"/>
    <w:rsid w:val="12084A90"/>
    <w:rsid w:val="17173305"/>
    <w:rsid w:val="1C8F3D2B"/>
    <w:rsid w:val="2CD74567"/>
    <w:rsid w:val="2DE54914"/>
    <w:rsid w:val="32751C92"/>
    <w:rsid w:val="33492641"/>
    <w:rsid w:val="357B3F2E"/>
    <w:rsid w:val="363E7CAC"/>
    <w:rsid w:val="376A2A82"/>
    <w:rsid w:val="37EF33E5"/>
    <w:rsid w:val="417814A0"/>
    <w:rsid w:val="443F5AC6"/>
    <w:rsid w:val="48702E73"/>
    <w:rsid w:val="4CD6394F"/>
    <w:rsid w:val="5C7763FD"/>
    <w:rsid w:val="5E062D59"/>
    <w:rsid w:val="60D809DC"/>
    <w:rsid w:val="68080DE7"/>
    <w:rsid w:val="6F2A2838"/>
    <w:rsid w:val="6FD91A8B"/>
    <w:rsid w:val="706C0261"/>
    <w:rsid w:val="734168B5"/>
    <w:rsid w:val="73945D82"/>
    <w:rsid w:val="772F37D7"/>
    <w:rsid w:val="7FAF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eastAsia="仿宋_GB2312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eastAsia="仿宋_GB2312"/>
      <w:bCs/>
      <w:sz w:val="28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numPr>
        <w:ilvl w:val="3"/>
        <w:numId w:val="1"/>
      </w:numPr>
      <w:spacing w:before="100" w:beforeAutospacing="1" w:after="100" w:afterAutospacing="1" w:line="377" w:lineRule="auto"/>
      <w:outlineLvl w:val="3"/>
    </w:pPr>
    <w:rPr>
      <w:rFonts w:eastAsia="仿宋_GB2312" w:asciiTheme="majorHAnsi" w:hAnsiTheme="majorHAnsi" w:cstheme="majorBidi"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9"/>
    <w:pPr>
      <w:keepNext/>
      <w:keepLines/>
      <w:numPr>
        <w:ilvl w:val="4"/>
        <w:numId w:val="1"/>
      </w:numPr>
      <w:spacing w:before="280" w:after="29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9">
    <w:name w:val="Default Paragraph Font"/>
    <w:semiHidden/>
    <w:unhideWhenUsed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4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5">
    <w:name w:val="header"/>
    <w:basedOn w:val="1"/>
    <w:link w:val="3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  <w:pPr>
      <w:tabs>
        <w:tab w:val="left" w:pos="840"/>
        <w:tab w:val="right" w:leader="dot" w:pos="8296"/>
      </w:tabs>
    </w:pPr>
    <w:rPr>
      <w:rFonts w:ascii="仿宋_GB2312" w:hAnsi="黑体" w:eastAsia="仿宋_GB2312" w:cstheme="majorEastAsia"/>
      <w:b/>
      <w:sz w:val="28"/>
      <w:szCs w:val="28"/>
    </w:rPr>
  </w:style>
  <w:style w:type="paragraph" w:styleId="1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2"/>
    <w:qFormat/>
    <w:uiPriority w:val="0"/>
    <w:rPr>
      <w:b/>
      <w:bCs/>
      <w:kern w:val="44"/>
      <w:sz w:val="32"/>
      <w:szCs w:val="44"/>
    </w:rPr>
  </w:style>
  <w:style w:type="character" w:customStyle="1" w:styleId="22">
    <w:name w:val="标题 2 字符"/>
    <w:basedOn w:val="19"/>
    <w:link w:val="3"/>
    <w:qFormat/>
    <w:uiPriority w:val="0"/>
    <w:rPr>
      <w:rFonts w:eastAsia="仿宋_GB2312" w:asciiTheme="majorHAnsi" w:hAnsiTheme="majorHAnsi" w:cstheme="majorBidi"/>
      <w:b/>
      <w:bCs/>
      <w:kern w:val="2"/>
      <w:sz w:val="28"/>
      <w:szCs w:val="32"/>
    </w:rPr>
  </w:style>
  <w:style w:type="character" w:customStyle="1" w:styleId="23">
    <w:name w:val="标题 3 字符"/>
    <w:basedOn w:val="19"/>
    <w:link w:val="4"/>
    <w:qFormat/>
    <w:uiPriority w:val="9"/>
    <w:rPr>
      <w:rFonts w:eastAsia="仿宋_GB2312"/>
      <w:bCs/>
      <w:kern w:val="2"/>
      <w:sz w:val="28"/>
      <w:szCs w:val="32"/>
    </w:rPr>
  </w:style>
  <w:style w:type="character" w:customStyle="1" w:styleId="24">
    <w:name w:val="标题 4 字符"/>
    <w:basedOn w:val="19"/>
    <w:link w:val="5"/>
    <w:qFormat/>
    <w:uiPriority w:val="9"/>
    <w:rPr>
      <w:rFonts w:eastAsia="仿宋_GB2312" w:asciiTheme="majorHAnsi" w:hAnsiTheme="majorHAnsi" w:cstheme="majorBidi"/>
      <w:bCs/>
      <w:kern w:val="2"/>
      <w:sz w:val="28"/>
      <w:szCs w:val="28"/>
    </w:rPr>
  </w:style>
  <w:style w:type="character" w:customStyle="1" w:styleId="25">
    <w:name w:val="标题 5 字符"/>
    <w:basedOn w:val="19"/>
    <w:link w:val="6"/>
    <w:qFormat/>
    <w:uiPriority w:val="9"/>
    <w:rPr>
      <w:b/>
      <w:bCs/>
      <w:kern w:val="2"/>
      <w:sz w:val="24"/>
      <w:szCs w:val="28"/>
    </w:rPr>
  </w:style>
  <w:style w:type="character" w:customStyle="1" w:styleId="26">
    <w:name w:val="标题 6 字符"/>
    <w:basedOn w:val="19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7">
    <w:name w:val="标题 7 字符"/>
    <w:basedOn w:val="19"/>
    <w:link w:val="8"/>
    <w:semiHidden/>
    <w:qFormat/>
    <w:uiPriority w:val="9"/>
    <w:rPr>
      <w:b/>
      <w:bCs/>
      <w:kern w:val="2"/>
      <w:sz w:val="24"/>
      <w:szCs w:val="24"/>
    </w:rPr>
  </w:style>
  <w:style w:type="character" w:customStyle="1" w:styleId="28">
    <w:name w:val="标题 8 字符"/>
    <w:basedOn w:val="19"/>
    <w:link w:val="9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29">
    <w:name w:val="标题 9 字符"/>
    <w:basedOn w:val="19"/>
    <w:link w:val="10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1"/>
    </w:rPr>
  </w:style>
  <w:style w:type="character" w:customStyle="1" w:styleId="30">
    <w:name w:val="批注框文本 字符"/>
    <w:basedOn w:val="19"/>
    <w:link w:val="13"/>
    <w:semiHidden/>
    <w:qFormat/>
    <w:uiPriority w:val="99"/>
    <w:rPr>
      <w:sz w:val="18"/>
      <w:szCs w:val="18"/>
    </w:rPr>
  </w:style>
  <w:style w:type="paragraph" w:styleId="31">
    <w:name w:val="List Paragraph"/>
    <w:basedOn w:val="1"/>
    <w:link w:val="32"/>
    <w:qFormat/>
    <w:uiPriority w:val="34"/>
    <w:pPr>
      <w:ind w:firstLine="420" w:firstLineChars="200"/>
    </w:pPr>
  </w:style>
  <w:style w:type="character" w:customStyle="1" w:styleId="32">
    <w:name w:val="列表段落 字符"/>
    <w:link w:val="31"/>
    <w:qFormat/>
    <w:locked/>
    <w:uiPriority w:val="34"/>
    <w:rPr>
      <w:sz w:val="24"/>
    </w:rPr>
  </w:style>
  <w:style w:type="character" w:customStyle="1" w:styleId="33">
    <w:name w:val="页眉 字符"/>
    <w:basedOn w:val="19"/>
    <w:link w:val="15"/>
    <w:qFormat/>
    <w:uiPriority w:val="0"/>
    <w:rPr>
      <w:sz w:val="18"/>
      <w:szCs w:val="18"/>
    </w:rPr>
  </w:style>
  <w:style w:type="character" w:customStyle="1" w:styleId="34">
    <w:name w:val="页脚 字符"/>
    <w:basedOn w:val="19"/>
    <w:link w:val="14"/>
    <w:qFormat/>
    <w:uiPriority w:val="99"/>
    <w:rPr>
      <w:sz w:val="18"/>
      <w:szCs w:val="18"/>
    </w:rPr>
  </w:style>
  <w:style w:type="paragraph" w:customStyle="1" w:styleId="35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6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7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37584B-A3D5-475B-8843-DE8349D508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1950</Words>
  <Characters>2105</Characters>
  <Lines>22</Lines>
  <Paragraphs>6</Paragraphs>
  <TotalTime>866</TotalTime>
  <ScaleCrop>false</ScaleCrop>
  <LinksUpToDate>false</LinksUpToDate>
  <CharactersWithSpaces>2159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2021-03-30T01:58:00Z</dcterms:created>
  <dc:creator>zl</dc:creator>
  <cp:lastModifiedBy>荡。</cp:lastModifiedBy>
  <dcterms:modified xsi:type="dcterms:W3CDTF">2025-04-30T08:32:39Z</dcterms:modified>
  <cp:revision>1371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1522F5DFCCA5418ABFE5D662CA256D81_13</vt:lpwstr>
  </property>
  <property fmtid="{D5CDD505-2E9C-101B-9397-08002B2CF9AE}" pid="4" name="KSOTemplateDocerSaveRecord">
    <vt:lpwstr>eyJoZGlkIjoiODFjMDZhMmZiYWY1YTVmMjVjY2IyN2NjNjRjNDg0ZTMiLCJ1c2VySWQiOiI3NDIyODEwNzEifQ==</vt:lpwstr>
  </property>
</Properties>
</file>