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150" w:beforeAutospacing="0" w:afterAutospacing="0" w:line="540" w:lineRule="atLeast"/>
        <w:jc w:val="center"/>
        <w:rPr>
          <w:rFonts w:hint="default" w:ascii="Times New Roman" w:hAnsi="Times New Roman" w:eastAsia="微软雅黑"/>
          <w:b w:val="0"/>
        </w:rPr>
      </w:pPr>
      <w:r>
        <w:rPr>
          <w:rFonts w:hint="default" w:ascii="Times New Roman" w:hAnsi="Times New Roman" w:eastAsia="微软雅黑"/>
          <w:b w:val="0"/>
        </w:rPr>
        <w:t>迪庆州生态环境局关于</w:t>
      </w:r>
      <w:r>
        <w:rPr>
          <w:rFonts w:hint="default" w:ascii="Times New Roman" w:hAnsi="Times New Roman" w:eastAsia="微软雅黑"/>
          <w:b w:val="0"/>
          <w:highlight w:val="yellow"/>
        </w:rPr>
        <w:t>202</w:t>
      </w:r>
      <w:r>
        <w:rPr>
          <w:rFonts w:ascii="Times New Roman" w:hAnsi="Times New Roman" w:eastAsia="微软雅黑"/>
          <w:b w:val="0"/>
          <w:highlight w:val="yellow"/>
        </w:rPr>
        <w:t>2</w:t>
      </w:r>
      <w:r>
        <w:rPr>
          <w:rFonts w:hint="default" w:ascii="Times New Roman" w:hAnsi="Times New Roman" w:eastAsia="微软雅黑"/>
          <w:b w:val="0"/>
          <w:highlight w:val="yellow"/>
        </w:rPr>
        <w:t>年</w:t>
      </w:r>
      <w:r>
        <w:rPr>
          <w:rFonts w:ascii="Times New Roman" w:hAnsi="Times New Roman" w:eastAsia="微软雅黑"/>
          <w:b w:val="0"/>
          <w:highlight w:val="yellow"/>
        </w:rPr>
        <w:t>11</w:t>
      </w:r>
      <w:r>
        <w:rPr>
          <w:rFonts w:hint="default" w:ascii="Times New Roman" w:hAnsi="Times New Roman" w:eastAsia="微软雅黑"/>
          <w:b w:val="0"/>
          <w:highlight w:val="yellow"/>
        </w:rPr>
        <w:t>月1</w:t>
      </w:r>
      <w:r>
        <w:rPr>
          <w:rFonts w:hint="eastAsia" w:ascii="Times New Roman" w:hAnsi="Times New Roman" w:eastAsia="微软雅黑"/>
          <w:b w:val="0"/>
          <w:highlight w:val="yellow"/>
          <w:lang w:val="en-US" w:eastAsia="zh-CN"/>
        </w:rPr>
        <w:t>5</w:t>
      </w:r>
      <w:r>
        <w:rPr>
          <w:rFonts w:hint="default" w:ascii="Times New Roman" w:hAnsi="Times New Roman" w:eastAsia="微软雅黑"/>
          <w:b w:val="0"/>
          <w:highlight w:val="yellow"/>
        </w:rPr>
        <w:t>日</w:t>
      </w:r>
      <w:bookmarkStart w:id="0" w:name="_Hlk520296664"/>
      <w:r>
        <w:rPr>
          <w:rFonts w:hint="eastAsia" w:ascii="Times New Roman" w:hAnsi="Times New Roman" w:eastAsia="微软雅黑"/>
          <w:b w:val="0"/>
          <w:lang w:eastAsia="zh-CN"/>
        </w:rPr>
        <w:t>110kV尼西变二期工程</w:t>
      </w:r>
      <w:r>
        <w:rPr>
          <w:rFonts w:ascii="Times New Roman" w:hAnsi="Times New Roman" w:eastAsia="微软雅黑"/>
          <w:b w:val="0"/>
        </w:rPr>
        <w:t>建设</w:t>
      </w:r>
      <w:r>
        <w:rPr>
          <w:rFonts w:hint="default" w:ascii="Times New Roman" w:hAnsi="Times New Roman" w:eastAsia="微软雅黑"/>
          <w:b w:val="0"/>
        </w:rPr>
        <w:t>项</w:t>
      </w:r>
      <w:r>
        <w:rPr>
          <w:rFonts w:ascii="Times New Roman" w:hAnsi="Times New Roman" w:eastAsia="微软雅黑"/>
          <w:b w:val="0"/>
        </w:rPr>
        <w:t>目</w:t>
      </w:r>
      <w:r>
        <w:rPr>
          <w:rFonts w:hint="default" w:ascii="Times New Roman" w:hAnsi="Times New Roman" w:eastAsia="微软雅黑"/>
          <w:b w:val="0"/>
        </w:rPr>
        <w:t>境影响</w:t>
      </w:r>
      <w:bookmarkEnd w:id="0"/>
      <w:r>
        <w:rPr>
          <w:rFonts w:hint="default" w:ascii="Times New Roman" w:hAnsi="Times New Roman" w:eastAsia="微软雅黑"/>
          <w:b w:val="0"/>
        </w:rPr>
        <w:t>报告</w:t>
      </w:r>
      <w:r>
        <w:rPr>
          <w:rFonts w:ascii="Times New Roman" w:hAnsi="Times New Roman" w:eastAsia="微软雅黑"/>
          <w:b w:val="0"/>
        </w:rPr>
        <w:t>表</w:t>
      </w:r>
      <w:r>
        <w:rPr>
          <w:rFonts w:hint="default" w:ascii="Times New Roman" w:hAnsi="Times New Roman" w:eastAsia="微软雅黑"/>
          <w:b w:val="0"/>
        </w:rPr>
        <w:t>拟审批情况的公示</w:t>
      </w:r>
    </w:p>
    <w:p>
      <w:pPr>
        <w:pStyle w:val="21"/>
        <w:widowControl/>
        <w:spacing w:beforeAutospacing="0" w:afterAutospacing="0" w:line="30" w:lineRule="atLeast"/>
        <w:ind w:firstLine="420"/>
        <w:jc w:val="both"/>
        <w:rPr>
          <w:rFonts w:ascii="Times New Roman" w:hAnsi="Times New Roman" w:eastAsia="仿宋"/>
        </w:rPr>
      </w:pPr>
    </w:p>
    <w:p>
      <w:pPr>
        <w:pStyle w:val="21"/>
        <w:widowControl/>
        <w:spacing w:beforeAutospacing="0" w:afterAutospacing="0" w:line="30" w:lineRule="atLeast"/>
        <w:ind w:firstLine="420"/>
        <w:jc w:val="both"/>
        <w:rPr>
          <w:rFonts w:ascii="Times New Roman" w:hAnsi="Times New Roman" w:eastAsia="仿宋"/>
        </w:rPr>
      </w:pPr>
      <w:r>
        <w:rPr>
          <w:rFonts w:ascii="Times New Roman" w:hAnsi="Times New Roman" w:eastAsia="仿宋"/>
        </w:rPr>
        <w:t>根据建设项目环境影响评价审批程序及信息公开要求，经审议，我局</w:t>
      </w:r>
      <w:bookmarkStart w:id="1" w:name="_GoBack"/>
      <w:bookmarkEnd w:id="1"/>
      <w:r>
        <w:rPr>
          <w:rFonts w:ascii="Times New Roman" w:hAnsi="Times New Roman" w:eastAsia="仿宋"/>
        </w:rPr>
        <w:t>拟对</w:t>
      </w:r>
      <w:r>
        <w:rPr>
          <w:rFonts w:hint="eastAsia" w:ascii="Times New Roman" w:hAnsi="Times New Roman" w:eastAsia="仿宋"/>
          <w:lang w:eastAsia="zh-CN"/>
        </w:rPr>
        <w:t>110kV尼西变二期工程</w:t>
      </w:r>
      <w:r>
        <w:rPr>
          <w:rFonts w:hint="eastAsia" w:ascii="Times New Roman" w:hAnsi="Times New Roman" w:eastAsia="仿宋"/>
        </w:rPr>
        <w:t>建设项目</w:t>
      </w:r>
      <w:r>
        <w:rPr>
          <w:rFonts w:ascii="Times New Roman" w:hAnsi="Times New Roman" w:eastAsia="仿宋"/>
        </w:rPr>
        <w:t>境影响报告</w:t>
      </w:r>
      <w:r>
        <w:rPr>
          <w:rFonts w:hint="eastAsia" w:ascii="Times New Roman" w:hAnsi="Times New Roman" w:eastAsia="仿宋"/>
        </w:rPr>
        <w:t>表</w:t>
      </w:r>
      <w:r>
        <w:rPr>
          <w:rFonts w:ascii="Times New Roman" w:hAnsi="Times New Roman" w:eastAsia="仿宋"/>
        </w:rPr>
        <w:t>作出审批意见，现将有关情况予以公示。公示期为：</w:t>
      </w:r>
      <w:r>
        <w:rPr>
          <w:rFonts w:ascii="Times New Roman" w:hAnsi="Times New Roman" w:eastAsia="仿宋"/>
          <w:highlight w:val="yellow"/>
        </w:rPr>
        <w:t>202</w:t>
      </w:r>
      <w:r>
        <w:rPr>
          <w:rFonts w:hint="eastAsia" w:ascii="Times New Roman" w:hAnsi="Times New Roman" w:eastAsia="仿宋"/>
          <w:highlight w:val="yellow"/>
        </w:rPr>
        <w:t>2</w:t>
      </w:r>
      <w:r>
        <w:rPr>
          <w:rFonts w:ascii="Times New Roman" w:hAnsi="Times New Roman" w:eastAsia="仿宋"/>
          <w:highlight w:val="yellow"/>
        </w:rPr>
        <w:t>年</w:t>
      </w:r>
      <w:r>
        <w:rPr>
          <w:rFonts w:hint="eastAsia" w:ascii="Times New Roman" w:hAnsi="Times New Roman" w:eastAsia="仿宋"/>
          <w:highlight w:val="yellow"/>
        </w:rPr>
        <w:t>11</w:t>
      </w:r>
      <w:r>
        <w:rPr>
          <w:rFonts w:ascii="Times New Roman" w:hAnsi="Times New Roman" w:eastAsia="仿宋"/>
          <w:highlight w:val="yellow"/>
        </w:rPr>
        <w:t>月</w:t>
      </w:r>
      <w:r>
        <w:rPr>
          <w:rFonts w:hint="eastAsia" w:ascii="Times New Roman" w:hAnsi="Times New Roman" w:eastAsia="仿宋"/>
          <w:highlight w:val="yellow"/>
        </w:rPr>
        <w:t>1</w:t>
      </w:r>
      <w:r>
        <w:rPr>
          <w:rFonts w:hint="eastAsia" w:ascii="Times New Roman" w:hAnsi="Times New Roman" w:eastAsia="仿宋"/>
          <w:highlight w:val="yellow"/>
          <w:lang w:val="en-US" w:eastAsia="zh-CN"/>
        </w:rPr>
        <w:t>5</w:t>
      </w:r>
      <w:r>
        <w:rPr>
          <w:rFonts w:ascii="Times New Roman" w:hAnsi="Times New Roman" w:eastAsia="仿宋"/>
          <w:highlight w:val="yellow"/>
        </w:rPr>
        <w:t>日-202</w:t>
      </w:r>
      <w:r>
        <w:rPr>
          <w:rFonts w:hint="eastAsia" w:ascii="Times New Roman" w:hAnsi="Times New Roman" w:eastAsia="仿宋"/>
          <w:highlight w:val="yellow"/>
        </w:rPr>
        <w:t>2</w:t>
      </w:r>
      <w:r>
        <w:rPr>
          <w:rFonts w:ascii="Times New Roman" w:hAnsi="Times New Roman" w:eastAsia="仿宋"/>
          <w:highlight w:val="yellow"/>
        </w:rPr>
        <w:t>年</w:t>
      </w:r>
      <w:r>
        <w:rPr>
          <w:rFonts w:hint="eastAsia" w:ascii="Times New Roman" w:hAnsi="Times New Roman" w:eastAsia="仿宋"/>
          <w:highlight w:val="yellow"/>
        </w:rPr>
        <w:t>11</w:t>
      </w:r>
      <w:r>
        <w:rPr>
          <w:rFonts w:ascii="Times New Roman" w:hAnsi="Times New Roman" w:eastAsia="仿宋"/>
          <w:highlight w:val="yellow"/>
        </w:rPr>
        <w:t>月</w:t>
      </w:r>
      <w:r>
        <w:rPr>
          <w:rFonts w:hint="eastAsia" w:ascii="Times New Roman" w:hAnsi="Times New Roman" w:eastAsia="仿宋"/>
          <w:highlight w:val="yellow"/>
          <w:lang w:val="en-US" w:eastAsia="zh-CN"/>
        </w:rPr>
        <w:t>22</w:t>
      </w:r>
      <w:r>
        <w:rPr>
          <w:rFonts w:ascii="Times New Roman" w:hAnsi="Times New Roman" w:eastAsia="仿宋"/>
          <w:highlight w:val="yellow"/>
        </w:rPr>
        <w:t>日（5个工作日）</w:t>
      </w:r>
      <w:r>
        <w:rPr>
          <w:rFonts w:ascii="Times New Roman" w:hAnsi="Times New Roman" w:eastAsia="仿宋"/>
        </w:rPr>
        <w:t>。</w:t>
      </w:r>
    </w:p>
    <w:p>
      <w:pPr>
        <w:pStyle w:val="21"/>
        <w:widowControl/>
        <w:spacing w:beforeAutospacing="0" w:afterAutospacing="0" w:line="30" w:lineRule="atLeast"/>
        <w:ind w:firstLine="420"/>
        <w:jc w:val="both"/>
        <w:rPr>
          <w:rFonts w:ascii="Times New Roman" w:hAnsi="Times New Roman" w:eastAsia="仿宋"/>
        </w:rPr>
      </w:pPr>
      <w:r>
        <w:rPr>
          <w:rFonts w:ascii="Times New Roman" w:hAnsi="Times New Roman" w:eastAsia="仿宋"/>
        </w:rPr>
        <w:t>联系电话：0887-8835259</w:t>
      </w:r>
    </w:p>
    <w:p>
      <w:pPr>
        <w:pStyle w:val="21"/>
        <w:widowControl/>
        <w:spacing w:beforeAutospacing="0" w:afterAutospacing="0" w:line="30" w:lineRule="atLeast"/>
        <w:ind w:firstLine="420"/>
        <w:jc w:val="both"/>
        <w:rPr>
          <w:rFonts w:ascii="Times New Roman" w:hAnsi="Times New Roman" w:eastAsia="仿宋"/>
        </w:rPr>
      </w:pPr>
      <w:r>
        <w:rPr>
          <w:rFonts w:ascii="Times New Roman" w:hAnsi="Times New Roman" w:eastAsia="仿宋"/>
        </w:rPr>
        <w:t>传  真：0887-8223031</w:t>
      </w:r>
    </w:p>
    <w:p>
      <w:pPr>
        <w:pStyle w:val="21"/>
        <w:widowControl/>
        <w:spacing w:beforeAutospacing="0" w:afterAutospacing="0" w:line="30" w:lineRule="atLeast"/>
        <w:ind w:firstLine="420"/>
        <w:jc w:val="both"/>
        <w:rPr>
          <w:rFonts w:ascii="Times New Roman" w:hAnsi="Times New Roman" w:eastAsia="仿宋"/>
        </w:rPr>
      </w:pPr>
      <w:r>
        <w:rPr>
          <w:rFonts w:ascii="Times New Roman" w:hAnsi="Times New Roman" w:eastAsia="仿宋"/>
        </w:rPr>
        <w:t xml:space="preserve">通讯地址：香格里拉市建塘镇阳塘路27号  </w:t>
      </w:r>
    </w:p>
    <w:p>
      <w:pPr>
        <w:pStyle w:val="21"/>
        <w:widowControl/>
        <w:spacing w:beforeAutospacing="0" w:afterAutospacing="0" w:line="30" w:lineRule="atLeast"/>
        <w:ind w:firstLine="420"/>
        <w:jc w:val="both"/>
        <w:rPr>
          <w:rFonts w:ascii="Times New Roman" w:hAnsi="Times New Roman" w:eastAsia="仿宋"/>
        </w:rPr>
      </w:pPr>
      <w:r>
        <w:rPr>
          <w:rFonts w:ascii="Times New Roman" w:hAnsi="Times New Roman" w:eastAsia="仿宋"/>
        </w:rPr>
        <w:t>邮编：674499</w:t>
      </w:r>
    </w:p>
    <w:tbl>
      <w:tblPr>
        <w:tblStyle w:val="25"/>
        <w:tblW w:w="13958" w:type="dxa"/>
        <w:tblCellSpacing w:w="0"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
      <w:tblGrid>
        <w:gridCol w:w="686"/>
        <w:gridCol w:w="960"/>
        <w:gridCol w:w="1163"/>
        <w:gridCol w:w="787"/>
        <w:gridCol w:w="1035"/>
        <w:gridCol w:w="2245"/>
        <w:gridCol w:w="7082"/>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blCellSpacing w:w="0" w:type="dxa"/>
        </w:trPr>
        <w:tc>
          <w:tcPr>
            <w:tcW w:w="686" w:type="dxa"/>
            <w:shd w:val="clear" w:color="auto" w:fill="auto"/>
            <w:vAlign w:val="center"/>
          </w:tcPr>
          <w:p>
            <w:pPr>
              <w:pStyle w:val="21"/>
              <w:widowControl/>
              <w:spacing w:beforeAutospacing="0" w:afterAutospacing="0"/>
              <w:jc w:val="center"/>
              <w:rPr>
                <w:rFonts w:ascii="仿宋" w:hAnsi="仿宋" w:eastAsia="仿宋" w:cs="仿宋"/>
                <w:color w:val="auto"/>
                <w:sz w:val="21"/>
                <w:szCs w:val="21"/>
              </w:rPr>
            </w:pPr>
            <w:r>
              <w:rPr>
                <w:rFonts w:hint="eastAsia" w:ascii="仿宋" w:hAnsi="仿宋" w:eastAsia="仿宋" w:cs="仿宋"/>
                <w:b/>
                <w:color w:val="auto"/>
                <w:sz w:val="21"/>
                <w:szCs w:val="21"/>
              </w:rPr>
              <w:t>序号</w:t>
            </w:r>
          </w:p>
        </w:tc>
        <w:tc>
          <w:tcPr>
            <w:tcW w:w="960" w:type="dxa"/>
            <w:shd w:val="clear" w:color="auto" w:fill="auto"/>
            <w:vAlign w:val="center"/>
          </w:tcPr>
          <w:p>
            <w:pPr>
              <w:pStyle w:val="21"/>
              <w:widowControl/>
              <w:spacing w:beforeAutospacing="0" w:afterAutospacing="0"/>
              <w:jc w:val="center"/>
              <w:rPr>
                <w:rFonts w:ascii="仿宋" w:hAnsi="仿宋" w:eastAsia="仿宋" w:cs="仿宋"/>
                <w:color w:val="auto"/>
                <w:sz w:val="21"/>
                <w:szCs w:val="21"/>
              </w:rPr>
            </w:pPr>
            <w:r>
              <w:rPr>
                <w:rFonts w:hint="eastAsia" w:ascii="仿宋" w:hAnsi="仿宋" w:eastAsia="仿宋" w:cs="仿宋"/>
                <w:b/>
                <w:color w:val="auto"/>
                <w:sz w:val="21"/>
                <w:szCs w:val="21"/>
              </w:rPr>
              <w:t>项目</w:t>
            </w:r>
          </w:p>
          <w:p>
            <w:pPr>
              <w:pStyle w:val="21"/>
              <w:widowControl/>
              <w:spacing w:beforeAutospacing="0" w:afterAutospacing="0"/>
              <w:jc w:val="center"/>
              <w:rPr>
                <w:rFonts w:ascii="仿宋" w:hAnsi="仿宋" w:eastAsia="仿宋" w:cs="仿宋"/>
                <w:color w:val="auto"/>
                <w:sz w:val="21"/>
                <w:szCs w:val="21"/>
              </w:rPr>
            </w:pPr>
            <w:r>
              <w:rPr>
                <w:rFonts w:hint="eastAsia" w:ascii="仿宋" w:hAnsi="仿宋" w:eastAsia="仿宋" w:cs="仿宋"/>
                <w:b/>
                <w:color w:val="auto"/>
                <w:sz w:val="21"/>
                <w:szCs w:val="21"/>
              </w:rPr>
              <w:t>名称</w:t>
            </w:r>
          </w:p>
        </w:tc>
        <w:tc>
          <w:tcPr>
            <w:tcW w:w="1163" w:type="dxa"/>
            <w:shd w:val="clear" w:color="auto" w:fill="auto"/>
            <w:vAlign w:val="center"/>
          </w:tcPr>
          <w:p>
            <w:pPr>
              <w:pStyle w:val="21"/>
              <w:widowControl/>
              <w:spacing w:beforeAutospacing="0" w:afterAutospacing="0"/>
              <w:jc w:val="center"/>
              <w:rPr>
                <w:rFonts w:ascii="仿宋" w:hAnsi="仿宋" w:eastAsia="仿宋" w:cs="仿宋"/>
                <w:color w:val="auto"/>
                <w:sz w:val="21"/>
                <w:szCs w:val="21"/>
              </w:rPr>
            </w:pPr>
            <w:r>
              <w:rPr>
                <w:rFonts w:hint="eastAsia" w:ascii="仿宋" w:hAnsi="仿宋" w:eastAsia="仿宋" w:cs="仿宋"/>
                <w:b/>
                <w:color w:val="auto"/>
                <w:sz w:val="21"/>
                <w:szCs w:val="21"/>
              </w:rPr>
              <w:t>建设</w:t>
            </w:r>
          </w:p>
          <w:p>
            <w:pPr>
              <w:pStyle w:val="21"/>
              <w:widowControl/>
              <w:spacing w:beforeAutospacing="0" w:afterAutospacing="0"/>
              <w:jc w:val="center"/>
              <w:rPr>
                <w:rFonts w:ascii="仿宋" w:hAnsi="仿宋" w:eastAsia="仿宋" w:cs="仿宋"/>
                <w:color w:val="auto"/>
                <w:sz w:val="21"/>
                <w:szCs w:val="21"/>
              </w:rPr>
            </w:pPr>
            <w:r>
              <w:rPr>
                <w:rFonts w:hint="eastAsia" w:ascii="仿宋" w:hAnsi="仿宋" w:eastAsia="仿宋" w:cs="仿宋"/>
                <w:b/>
                <w:color w:val="auto"/>
                <w:sz w:val="21"/>
                <w:szCs w:val="21"/>
              </w:rPr>
              <w:t>地点</w:t>
            </w:r>
          </w:p>
        </w:tc>
        <w:tc>
          <w:tcPr>
            <w:tcW w:w="787" w:type="dxa"/>
            <w:shd w:val="clear" w:color="auto" w:fill="auto"/>
            <w:vAlign w:val="center"/>
          </w:tcPr>
          <w:p>
            <w:pPr>
              <w:pStyle w:val="21"/>
              <w:widowControl/>
              <w:spacing w:beforeAutospacing="0" w:afterAutospacing="0"/>
              <w:jc w:val="center"/>
              <w:rPr>
                <w:rFonts w:ascii="仿宋" w:hAnsi="仿宋" w:eastAsia="仿宋" w:cs="仿宋"/>
                <w:color w:val="auto"/>
                <w:sz w:val="21"/>
                <w:szCs w:val="21"/>
              </w:rPr>
            </w:pPr>
            <w:r>
              <w:rPr>
                <w:rFonts w:hint="eastAsia" w:ascii="仿宋" w:hAnsi="仿宋" w:eastAsia="仿宋" w:cs="仿宋"/>
                <w:b/>
                <w:color w:val="auto"/>
                <w:sz w:val="21"/>
                <w:szCs w:val="21"/>
              </w:rPr>
              <w:t>建设</w:t>
            </w:r>
          </w:p>
          <w:p>
            <w:pPr>
              <w:pStyle w:val="21"/>
              <w:widowControl/>
              <w:spacing w:beforeAutospacing="0" w:afterAutospacing="0"/>
              <w:jc w:val="center"/>
              <w:rPr>
                <w:rFonts w:ascii="仿宋" w:hAnsi="仿宋" w:eastAsia="仿宋" w:cs="仿宋"/>
                <w:color w:val="auto"/>
                <w:sz w:val="21"/>
                <w:szCs w:val="21"/>
              </w:rPr>
            </w:pPr>
            <w:r>
              <w:rPr>
                <w:rFonts w:hint="eastAsia" w:ascii="仿宋" w:hAnsi="仿宋" w:eastAsia="仿宋" w:cs="仿宋"/>
                <w:b/>
                <w:color w:val="auto"/>
                <w:sz w:val="21"/>
                <w:szCs w:val="21"/>
              </w:rPr>
              <w:t>单位</w:t>
            </w:r>
          </w:p>
        </w:tc>
        <w:tc>
          <w:tcPr>
            <w:tcW w:w="1035" w:type="dxa"/>
            <w:shd w:val="clear" w:color="auto" w:fill="auto"/>
            <w:vAlign w:val="center"/>
          </w:tcPr>
          <w:p>
            <w:pPr>
              <w:pStyle w:val="21"/>
              <w:widowControl/>
              <w:spacing w:beforeAutospacing="0" w:afterAutospacing="0"/>
              <w:jc w:val="center"/>
              <w:rPr>
                <w:rFonts w:ascii="仿宋" w:hAnsi="仿宋" w:eastAsia="仿宋" w:cs="仿宋"/>
                <w:b/>
                <w:color w:val="auto"/>
                <w:sz w:val="21"/>
                <w:szCs w:val="21"/>
              </w:rPr>
            </w:pPr>
            <w:r>
              <w:rPr>
                <w:rFonts w:hint="eastAsia" w:ascii="仿宋" w:hAnsi="仿宋" w:eastAsia="仿宋" w:cs="仿宋"/>
                <w:b/>
                <w:color w:val="auto"/>
                <w:sz w:val="21"/>
                <w:szCs w:val="21"/>
              </w:rPr>
              <w:t>环评</w:t>
            </w:r>
          </w:p>
          <w:p>
            <w:pPr>
              <w:pStyle w:val="21"/>
              <w:widowControl/>
              <w:spacing w:beforeAutospacing="0" w:afterAutospacing="0"/>
              <w:jc w:val="center"/>
              <w:rPr>
                <w:rFonts w:ascii="仿宋" w:hAnsi="仿宋" w:eastAsia="仿宋" w:cs="仿宋"/>
                <w:color w:val="auto"/>
                <w:sz w:val="21"/>
                <w:szCs w:val="21"/>
              </w:rPr>
            </w:pPr>
            <w:r>
              <w:rPr>
                <w:rFonts w:hint="eastAsia" w:ascii="仿宋" w:hAnsi="仿宋" w:eastAsia="仿宋" w:cs="仿宋"/>
                <w:b/>
                <w:color w:val="auto"/>
                <w:sz w:val="21"/>
                <w:szCs w:val="21"/>
              </w:rPr>
              <w:t>机构</w:t>
            </w:r>
          </w:p>
        </w:tc>
        <w:tc>
          <w:tcPr>
            <w:tcW w:w="2245" w:type="dxa"/>
            <w:shd w:val="clear" w:color="auto" w:fill="auto"/>
            <w:vAlign w:val="center"/>
          </w:tcPr>
          <w:p>
            <w:pPr>
              <w:pStyle w:val="21"/>
              <w:widowControl/>
              <w:spacing w:beforeAutospacing="0" w:afterAutospacing="0"/>
              <w:ind w:firstLine="420"/>
              <w:jc w:val="both"/>
              <w:rPr>
                <w:rFonts w:ascii="仿宋" w:hAnsi="仿宋" w:eastAsia="仿宋" w:cs="仿宋"/>
                <w:color w:val="auto"/>
                <w:sz w:val="21"/>
                <w:szCs w:val="21"/>
              </w:rPr>
            </w:pPr>
            <w:r>
              <w:rPr>
                <w:rFonts w:hint="eastAsia" w:ascii="仿宋" w:hAnsi="仿宋" w:eastAsia="仿宋" w:cs="仿宋"/>
                <w:b/>
                <w:color w:val="auto"/>
                <w:sz w:val="21"/>
                <w:szCs w:val="21"/>
              </w:rPr>
              <w:t>项目概况</w:t>
            </w:r>
          </w:p>
        </w:tc>
        <w:tc>
          <w:tcPr>
            <w:tcW w:w="7082" w:type="dxa"/>
            <w:shd w:val="clear" w:color="auto" w:fill="auto"/>
            <w:vAlign w:val="center"/>
          </w:tcPr>
          <w:p>
            <w:pPr>
              <w:pStyle w:val="21"/>
              <w:widowControl/>
              <w:spacing w:beforeAutospacing="0" w:afterAutospacing="0"/>
              <w:jc w:val="both"/>
              <w:rPr>
                <w:rFonts w:ascii="仿宋" w:hAnsi="仿宋" w:eastAsia="仿宋" w:cs="仿宋"/>
                <w:color w:val="auto"/>
                <w:sz w:val="21"/>
                <w:szCs w:val="21"/>
              </w:rPr>
            </w:pPr>
            <w:r>
              <w:rPr>
                <w:rFonts w:hint="eastAsia" w:ascii="仿宋" w:hAnsi="仿宋" w:eastAsia="仿宋" w:cs="仿宋"/>
                <w:b/>
                <w:color w:val="auto"/>
                <w:sz w:val="21"/>
                <w:szCs w:val="21"/>
              </w:rPr>
              <w:t>主要环境影响及预防或者减轻不良环境影响的对策和措施</w:t>
            </w:r>
            <w:r>
              <w:rPr>
                <w:rFonts w:hint="eastAsia" w:ascii="仿宋" w:hAnsi="仿宋" w:eastAsia="仿宋" w:cs="仿宋"/>
                <w:color w:val="auto"/>
                <w:sz w:val="21"/>
                <w:szCs w:val="21"/>
              </w:rPr>
              <w:t> </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553" w:hRule="atLeast"/>
          <w:tblCellSpacing w:w="0" w:type="dxa"/>
        </w:trPr>
        <w:tc>
          <w:tcPr>
            <w:tcW w:w="686" w:type="dxa"/>
            <w:shd w:val="clear" w:color="auto" w:fill="auto"/>
            <w:vAlign w:val="center"/>
          </w:tcPr>
          <w:p>
            <w:pPr>
              <w:pStyle w:val="14"/>
              <w:jc w:val="center"/>
              <w:rPr>
                <w:rFonts w:ascii="Times New Roman" w:hAnsi="宋体"/>
                <w:color w:val="auto"/>
                <w:sz w:val="21"/>
                <w:szCs w:val="21"/>
              </w:rPr>
            </w:pPr>
            <w:r>
              <w:rPr>
                <w:rFonts w:hint="eastAsia" w:ascii="Times New Roman" w:hAnsi="宋体"/>
                <w:color w:val="auto"/>
                <w:sz w:val="21"/>
                <w:szCs w:val="21"/>
              </w:rPr>
              <w:t>1</w:t>
            </w:r>
          </w:p>
        </w:tc>
        <w:tc>
          <w:tcPr>
            <w:tcW w:w="960" w:type="dxa"/>
            <w:shd w:val="clear" w:color="auto" w:fill="auto"/>
            <w:vAlign w:val="center"/>
          </w:tcPr>
          <w:p>
            <w:pPr>
              <w:spacing w:before="20" w:after="20"/>
              <w:jc w:val="center"/>
              <w:rPr>
                <w:rFonts w:hint="eastAsia" w:ascii="Times New Roman" w:hAnsi="Times New Roman" w:cs="Times New Roman" w:eastAsiaTheme="minorEastAsia"/>
                <w:color w:val="auto"/>
                <w:kern w:val="2"/>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
              </w:rPr>
              <w:t>110kV尼西变二期工程建设项目</w:t>
            </w:r>
          </w:p>
        </w:tc>
        <w:tc>
          <w:tcPr>
            <w:tcW w:w="1163" w:type="dxa"/>
            <w:shd w:val="clear" w:color="auto" w:fill="auto"/>
            <w:vAlign w:val="center"/>
          </w:tcPr>
          <w:p>
            <w:pPr>
              <w:pStyle w:val="21"/>
              <w:widowControl/>
              <w:spacing w:afterAutospacing="0" w:line="300" w:lineRule="exact"/>
              <w:jc w:val="center"/>
              <w:rPr>
                <w:rFonts w:hint="eastAsia" w:ascii="Times New Roman" w:hAnsi="Times New Roman" w:cs="Times New Roman" w:eastAsiaTheme="minorEastAsia"/>
                <w:color w:val="auto"/>
                <w:kern w:val="2"/>
                <w:sz w:val="21"/>
                <w:szCs w:val="21"/>
                <w:lang w:val="en-US" w:eastAsia="zh-CN" w:bidi="ar"/>
              </w:rPr>
            </w:pPr>
            <w:r>
              <w:rPr>
                <w:rFonts w:hint="default" w:ascii="Times New Roman" w:hAnsi="Times New Roman" w:cs="Times New Roman" w:eastAsiaTheme="minorEastAsia"/>
                <w:color w:val="auto"/>
                <w:kern w:val="2"/>
                <w:sz w:val="21"/>
                <w:szCs w:val="21"/>
                <w:lang w:val="en-US" w:eastAsia="zh-CN" w:bidi="ar"/>
              </w:rPr>
              <w:t>云南省迪庆藏族自治州香格里拉市建塘镇、尼西乡</w:t>
            </w:r>
          </w:p>
        </w:tc>
        <w:tc>
          <w:tcPr>
            <w:tcW w:w="787" w:type="dxa"/>
            <w:shd w:val="clear" w:color="auto" w:fill="auto"/>
            <w:vAlign w:val="center"/>
          </w:tcPr>
          <w:p>
            <w:pPr>
              <w:pStyle w:val="21"/>
              <w:widowControl/>
              <w:spacing w:afterAutospacing="0" w:line="300" w:lineRule="exact"/>
              <w:jc w:val="center"/>
              <w:rPr>
                <w:rFonts w:hint="eastAsia" w:ascii="Times New Roman" w:hAnsi="Times New Roman" w:cs="Times New Roman" w:eastAsiaTheme="minorEastAsia"/>
                <w:color w:val="auto"/>
                <w:kern w:val="2"/>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
              </w:rPr>
              <w:t>云南电网有限责任公司迪庆供电局</w:t>
            </w:r>
          </w:p>
        </w:tc>
        <w:tc>
          <w:tcPr>
            <w:tcW w:w="1035" w:type="dxa"/>
            <w:shd w:val="clear" w:color="auto" w:fill="auto"/>
            <w:vAlign w:val="center"/>
          </w:tcPr>
          <w:p>
            <w:pPr>
              <w:pStyle w:val="21"/>
              <w:widowControl/>
              <w:spacing w:afterAutospacing="0" w:line="300" w:lineRule="exact"/>
              <w:jc w:val="center"/>
              <w:rPr>
                <w:rFonts w:hint="eastAsia" w:ascii="Times New Roman" w:hAnsi="Times New Roman" w:cs="Times New Roman" w:eastAsiaTheme="minorEastAsia"/>
                <w:color w:val="auto"/>
                <w:kern w:val="2"/>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
              </w:rPr>
              <w:t>湖北君邦环境技术有限责任公司</w:t>
            </w:r>
          </w:p>
        </w:tc>
        <w:tc>
          <w:tcPr>
            <w:tcW w:w="2245" w:type="dxa"/>
            <w:shd w:val="clear" w:color="auto" w:fill="auto"/>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Times New Roman" w:hAnsi="Times New Roman" w:cs="Times New Roman" w:eastAsiaTheme="minorEastAsia"/>
                <w:color w:val="auto"/>
                <w:kern w:val="2"/>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
              </w:rPr>
              <w:t>本项目位于</w:t>
            </w:r>
            <w:r>
              <w:rPr>
                <w:rFonts w:hint="default" w:ascii="Times New Roman" w:hAnsi="Times New Roman" w:cs="Times New Roman" w:eastAsiaTheme="minorEastAsia"/>
                <w:color w:val="auto"/>
                <w:kern w:val="2"/>
                <w:sz w:val="21"/>
                <w:szCs w:val="21"/>
                <w:lang w:val="en-US" w:eastAsia="zh-CN" w:bidi="ar"/>
              </w:rPr>
              <w:t>云南省迪庆藏族自治州香格里拉市建塘镇、尼西乡</w:t>
            </w:r>
            <w:r>
              <w:rPr>
                <w:rFonts w:hint="eastAsia" w:ascii="Times New Roman" w:hAnsi="Times New Roman" w:cs="Times New Roman" w:eastAsiaTheme="minorEastAsia"/>
                <w:color w:val="auto"/>
                <w:kern w:val="2"/>
                <w:sz w:val="21"/>
                <w:szCs w:val="21"/>
                <w:lang w:val="en-US" w:eastAsia="zh-CN" w:bidi="ar"/>
              </w:rPr>
              <w:t>。①110kV尼西变电站扩建工程：本期新增#2主变，容量为20MVA，新增2#主变进线间隔1个，出线间隔1个。②220kV香格里拉变电站间隔扩建工程：本期扩建110kV出线间隔1个至110kV尼西变。③新建110kV尼西变～香格里拉变Ⅱ回线路工程：新建线路路径全长约32.7km，采用单、双回混合架设方式，其中单回线路约32km，双回线路约0.7km（香格里拉变出线段），双回线路本期为单边挂线。</w:t>
            </w:r>
          </w:p>
          <w:p>
            <w:pPr>
              <w:pStyle w:val="2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color w:val="auto"/>
                <w:szCs w:val="21"/>
              </w:rPr>
            </w:pPr>
            <w:r>
              <w:rPr>
                <w:rFonts w:hint="eastAsia" w:ascii="Times New Roman" w:hAnsi="Times New Roman" w:cs="Times New Roman" w:eastAsiaTheme="minorEastAsia"/>
                <w:color w:val="auto"/>
                <w:kern w:val="2"/>
                <w:sz w:val="21"/>
                <w:szCs w:val="21"/>
                <w:lang w:val="en-US" w:eastAsia="zh-CN" w:bidi="ar"/>
              </w:rPr>
              <w:t>项目总投资约6714万元，其中环保投资39万元，占总投资0.5%。</w:t>
            </w:r>
          </w:p>
          <w:p>
            <w:pPr>
              <w:pStyle w:val="29"/>
              <w:spacing w:before="156" w:after="156" w:line="200" w:lineRule="exact"/>
              <w:ind w:firstLine="0"/>
              <w:rPr>
                <w:color w:val="auto"/>
                <w:szCs w:val="21"/>
              </w:rPr>
            </w:pPr>
          </w:p>
          <w:p>
            <w:pPr>
              <w:pStyle w:val="29"/>
              <w:spacing w:before="156" w:after="156" w:line="200" w:lineRule="exact"/>
              <w:ind w:firstLine="0"/>
              <w:rPr>
                <w:color w:val="auto"/>
                <w:szCs w:val="21"/>
              </w:rPr>
            </w:pPr>
          </w:p>
          <w:p>
            <w:pPr>
              <w:pStyle w:val="29"/>
              <w:spacing w:before="156" w:after="156" w:line="200" w:lineRule="exact"/>
              <w:ind w:firstLine="0"/>
              <w:rPr>
                <w:rFonts w:ascii="仿宋_GB2312" w:hAnsi="仿宋_GB2312" w:cs="仿宋_GB2312"/>
                <w:color w:val="auto"/>
                <w:szCs w:val="21"/>
              </w:rPr>
            </w:pPr>
          </w:p>
        </w:tc>
        <w:tc>
          <w:tcPr>
            <w:tcW w:w="7082" w:type="dxa"/>
            <w:shd w:val="clear" w:color="auto" w:fill="auto"/>
            <w:vAlign w:val="center"/>
          </w:tcPr>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b/>
                <w:color w:val="auto"/>
                <w:sz w:val="21"/>
                <w:szCs w:val="21"/>
              </w:rPr>
            </w:pPr>
            <w:r>
              <w:rPr>
                <w:rFonts w:hint="eastAsia" w:ascii="Times New Roman" w:hAnsi="Times New Roman"/>
                <w:b/>
                <w:color w:val="auto"/>
                <w:sz w:val="21"/>
                <w:szCs w:val="21"/>
              </w:rPr>
              <w:t>一、施工期环保措施</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color w:val="auto"/>
                <w:sz w:val="21"/>
                <w:szCs w:val="21"/>
              </w:rPr>
            </w:pPr>
            <w:r>
              <w:rPr>
                <w:rFonts w:hint="eastAsia"/>
                <w:color w:val="auto"/>
                <w:sz w:val="21"/>
                <w:szCs w:val="21"/>
              </w:rPr>
              <w:t>1生态环境保护措施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（1）一般区域内生态环境保护措施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1）避让措施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①合理规划施工季节和时间，尽量避让动物的繁殖期、迁徙期。</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②建议线路塔基因地制宜，多采用全方位高低腿铁塔、改良型基础、紧凑型设计，尽量少占土地、减少土石方开挖量及水土流失，保护生态环境。</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③合理规划施工料场、牵张场等临时场地，合理划定施工范围和人员、车辆的行走路线，避免对施工范围之外区域的动植物造成碾压和破坏。</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④进一步优化线路路径，</w:t>
            </w:r>
            <w:r>
              <w:rPr>
                <w:rFonts w:hint="default" w:ascii="Times New Roman" w:hAnsi="Times New Roman" w:eastAsia="宋体" w:cs="Times New Roman"/>
                <w:bCs/>
                <w:color w:val="auto"/>
                <w:sz w:val="21"/>
                <w:szCs w:val="21"/>
                <w:lang w:eastAsia="zh-CN"/>
              </w:rPr>
              <w:t>新建杆塔</w:t>
            </w:r>
            <w:r>
              <w:rPr>
                <w:rFonts w:hint="default" w:ascii="Times New Roman" w:hAnsi="Times New Roman" w:eastAsia="宋体" w:cs="Times New Roman"/>
                <w:bCs/>
                <w:color w:val="auto"/>
                <w:sz w:val="21"/>
                <w:szCs w:val="21"/>
              </w:rPr>
              <w:t>尽可能</w:t>
            </w:r>
            <w:r>
              <w:rPr>
                <w:rStyle w:val="24"/>
                <w:rFonts w:hint="default" w:ascii="Times New Roman" w:hAnsi="Times New Roman" w:eastAsia="宋体" w:cs="Times New Roman"/>
                <w:color w:val="auto"/>
                <w:kern w:val="0"/>
                <w:sz w:val="21"/>
                <w:szCs w:val="21"/>
                <w:lang w:eastAsia="zh-CN"/>
              </w:rPr>
              <w:t>远离</w:t>
            </w:r>
            <w:r>
              <w:rPr>
                <w:rFonts w:hint="default" w:ascii="Times New Roman" w:hAnsi="Times New Roman" w:eastAsia="宋体" w:cs="Times New Roman"/>
                <w:bCs/>
                <w:color w:val="auto"/>
                <w:sz w:val="21"/>
                <w:szCs w:val="21"/>
              </w:rPr>
              <w:t>生态保护红线。</w:t>
            </w:r>
            <w:r>
              <w:rPr>
                <w:rFonts w:hint="default" w:ascii="Times New Roman" w:hAnsi="Times New Roman" w:eastAsia="宋体" w:cs="Times New Roman"/>
                <w:color w:val="auto"/>
                <w:sz w:val="21"/>
                <w:szCs w:val="21"/>
              </w:rPr>
              <w:t>合理制定施工组织计划，尽量避免在夜间及鸟类繁殖季节施工。</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2）减缓措施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①110kV尼西变电站扩建工程及220kV香格里拉变电站间隔扩建工程施工期各项施工活动全部位于变电站站内进行，</w:t>
            </w:r>
            <w:r>
              <w:rPr>
                <w:rFonts w:hint="default" w:ascii="Times New Roman" w:hAnsi="Times New Roman" w:eastAsia="宋体" w:cs="Times New Roman"/>
                <w:color w:val="auto"/>
                <w:sz w:val="21"/>
                <w:szCs w:val="21"/>
              </w:rPr>
              <w:t>线路施工过程中应划定施工活动范围，作业区四周设置彩带控制作业范围，加强监管，严禁越区施工，施工人员和施工机械不得在规定区域范围外随意活动和行驶，严禁踩踏施工区域外地表植被，避免对附近区域植被造成不必要的破坏。</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②线路根据地形条件采用全方位高低腿铁塔，</w:t>
            </w:r>
            <w:r>
              <w:rPr>
                <w:rFonts w:hint="default" w:ascii="Times New Roman" w:hAnsi="Times New Roman" w:eastAsia="宋体" w:cs="Times New Roman"/>
                <w:color w:val="auto"/>
                <w:sz w:val="21"/>
                <w:szCs w:val="21"/>
              </w:rPr>
              <w:t>基础开挖时选用影响较小开挖方式，</w:t>
            </w:r>
            <w:r>
              <w:rPr>
                <w:rFonts w:hint="default" w:ascii="Times New Roman" w:hAnsi="Times New Roman" w:eastAsia="宋体" w:cs="Times New Roman"/>
                <w:bCs/>
                <w:color w:val="auto"/>
                <w:sz w:val="21"/>
                <w:szCs w:val="21"/>
              </w:rPr>
              <w:t>尽量少占土地，减少土石方开挖量及水土流失，保护生态环境</w:t>
            </w:r>
            <w:r>
              <w:rPr>
                <w:rFonts w:hint="default" w:ascii="Times New Roman" w:hAnsi="Times New Roman" w:eastAsia="宋体" w:cs="Times New Roman"/>
                <w:color w:val="auto"/>
                <w:sz w:val="21"/>
                <w:szCs w:val="21"/>
              </w:rPr>
              <w:t>；基础开挖临时堆土应采用临时拦挡措施，用苫布覆盖，回填多余土石方选择合适地点堆放，并采取措施进行防护。</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③塔基施工占用耕地、林地时，施工前应进行表土剥离，将表土单独堆存并做好覆盖、拦挡等防护措施，施工结束后用于项目区植被恢复或耕作区域表层覆土。</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④严格控制塔基周围的材料堆场范围，尽量在塔基占地范围内进行施工活动。牵张场选址应尽量避让植被密集区，尽量选择线路沿线空地布置，减少植被破坏，并可采用钢板铺垫，减少倾轧。</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⑤施工期施工道路应充分利用线路周边现有道路，</w:t>
            </w:r>
            <w:r>
              <w:rPr>
                <w:rFonts w:hint="default" w:ascii="Times New Roman" w:hAnsi="Times New Roman" w:eastAsia="宋体" w:cs="Times New Roman"/>
                <w:color w:val="auto"/>
                <w:sz w:val="21"/>
                <w:szCs w:val="21"/>
              </w:rPr>
              <w:t>在交通不便区域采用人背马驮方式，</w:t>
            </w:r>
            <w:r>
              <w:rPr>
                <w:rFonts w:hint="default" w:ascii="Times New Roman" w:hAnsi="Times New Roman" w:eastAsia="宋体" w:cs="Times New Roman"/>
                <w:bCs/>
                <w:color w:val="auto"/>
                <w:sz w:val="21"/>
                <w:szCs w:val="21"/>
              </w:rPr>
              <w:t>施工完成后对施工临时占地及时进行迹地恢复。</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⑥对可能出现较大汇水面且土层较厚的塔位要求开挖排水沟，并顺接入原地形自然排水系统；位于斜坡的塔基表面应做成斜面，恢复自然排水，排水沟均采用浆砌块石排水沟。</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⑦经过植被较好的区域时应采用高塔架设和无人机放线等施工架线工艺；施工现场使用带油料的机械器具，应铺设彩条布防止油料跑、冒、滴、漏，防止对土壤和水体造成污染。</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⑧施工中尽量控制声源，选取低噪声设备，并合理安排强噪声施工行为的时间，尽量减少施工噪声对野生动物的干扰。鸟类和兽类大多是晨、昏(早晨、黄昏)或夜间外出觅食，正午休息。应做好施工方式和时间的计划，尽量避免在该时段内高噪声施工作业对动物的惊扰。</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3）恢复与补偿措施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施工结束后临时占地应及时进行清理、松土、覆盖表层土，除复耕外对于土地条件较好的临时占地区域植被恢复尽可能利用植被自然更新，对确需进入人工播撒草籽进行植被恢复的区域，选择当地的乡土植物进行植被恢复，严禁引入外来物种。</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4）管理措施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 xml:space="preserve">①加强施工人员对野生动物和生态环境的保护意识，并在施工过程中加强管理，禁止人为破坏洞穴、巢穴、捡拾鸟卵(蛋)等活动，在施工中遇到的幼兽、幼鸟和鸟蛋须交给林业局的专业人员妥善处置，不得擅自处理。 </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②加强人员监督，严禁猎杀任何兽类，严禁打鸟、捕鸟和破坏鸟类的生境。</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③施工前，施工单位应做好施工期环境管理与教育培训、印发环境保护手册，组织专业人员对施工人员进行环保宣传教育，施工期严格施工红线，严格行为规范，进行必要的管理监督。</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④在施工设计文件中应说明施工期需注意的环保问题，如对沿线树木砍伐，野生动植物保护、植被恢复等情况均应按设计文件执行；严格要求施工单位按环保设计要求施工。</w:t>
            </w:r>
            <w:r>
              <w:rPr>
                <w:rFonts w:hint="default" w:ascii="Times New Roman" w:hAnsi="Times New Roman" w:eastAsia="宋体" w:cs="Times New Roman"/>
                <w:color w:val="auto"/>
                <w:sz w:val="21"/>
                <w:szCs w:val="21"/>
              </w:rPr>
              <w:t>杜绝施工人员在施工场地出现乱砍滥伐、盗猎野生动物等行为，禁止野外用火和吸烟，避免引发森林火灾。</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⑤在人员活动较多和较集中的区域，如生产区域、项目部附近，粘贴和设置环境保护方面的警示牌，提醒人们依法保护自然环境。</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⑥加强生态入侵风险管理，加强项目区危险性林业有害生物的预防和控制，强化森林资源及其附近森林资源的保护，确保区域生态安全。</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 xml:space="preserve">⑦项目施工前，需办理相关林业手续后方可正常开工。 </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（2）生态保护红线区域内生态环境保护措施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①项目施工前划定施工范围，严禁占用生态保护红线范围。</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②严禁在生态保护红线范围内设置堆料场及施工生活区。</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③禁止在生态保护红线范围内开辟临时施工道路，材料运输依靠现有道路运至塔位附近，再采用人背马驮等方式运至杆塔施工点。</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④项目施工现场设立关于生态保护红线区域的警示牌，加强施工管理，规范施工行为。</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color w:val="auto"/>
                <w:sz w:val="21"/>
                <w:szCs w:val="21"/>
              </w:rPr>
            </w:pPr>
            <w:r>
              <w:rPr>
                <w:rFonts w:hint="default" w:ascii="Times New Roman" w:hAnsi="Times New Roman" w:eastAsia="宋体" w:cs="Times New Roman"/>
                <w:bCs/>
                <w:color w:val="auto"/>
                <w:sz w:val="21"/>
                <w:szCs w:val="21"/>
              </w:rPr>
              <w:t>⑤加强施工人员生态保护教育，严禁施工人员进入生态保护红线区域捕猎、捕食野生动物和随意砍伐、践踏植被。</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b/>
                <w:bCs/>
                <w:color w:val="auto"/>
                <w:sz w:val="21"/>
                <w:szCs w:val="21"/>
              </w:rPr>
            </w:pPr>
            <w:r>
              <w:rPr>
                <w:rFonts w:hint="eastAsia"/>
                <w:b/>
                <w:bCs/>
                <w:color w:val="auto"/>
                <w:sz w:val="21"/>
                <w:szCs w:val="21"/>
              </w:rPr>
              <w:t>2声环境保护措施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（1）要求施工单位文明施工，加强施工期的环境管理和环境监控工作，并接受环境保护部门的监督管理。</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w:t>
            </w:r>
            <w:r>
              <w:rPr>
                <w:rFonts w:hint="default" w:ascii="Times New Roman" w:hAnsi="Times New Roman" w:eastAsia="宋体" w:cs="Times New Roman"/>
                <w:color w:val="auto"/>
                <w:sz w:val="21"/>
                <w:szCs w:val="21"/>
              </w:rPr>
              <w:t>施工车辆经过居民区时减缓行驶速度，减少鸣笛。</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（3）施工单位应采用噪声水平满足国家相应标准的施工机械设备，并在施工场地周围设置围栏或围墙以减小施工噪声影响。</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color w:val="auto"/>
                <w:sz w:val="21"/>
                <w:szCs w:val="21"/>
              </w:rPr>
            </w:pPr>
            <w:r>
              <w:rPr>
                <w:rFonts w:hint="default" w:ascii="Times New Roman" w:hAnsi="Times New Roman" w:eastAsia="宋体" w:cs="Times New Roman"/>
                <w:bCs/>
                <w:color w:val="auto"/>
                <w:sz w:val="21"/>
                <w:szCs w:val="21"/>
              </w:rPr>
              <w:t>（4）限制夜间高噪声施工。施工单位夜间应尽量减少产生高噪声污染的施工内容。</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b/>
                <w:bCs/>
                <w:color w:val="auto"/>
                <w:sz w:val="21"/>
                <w:szCs w:val="21"/>
              </w:rPr>
            </w:pPr>
            <w:r>
              <w:rPr>
                <w:rFonts w:hint="eastAsia"/>
                <w:b/>
                <w:bCs/>
                <w:color w:val="auto"/>
                <w:sz w:val="21"/>
                <w:szCs w:val="21"/>
              </w:rPr>
              <w:t>3施工扬尘防治措施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（1）施工过程中，应当加强对施工现场和物料运输的管理，在施工工地设置硬质围挡，保持道路清洁，管控料堆和渣土堆放，防治扬尘污染。</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（2）施工过程中，对易起尘的临时堆土、运输过程中的土石方等应采用密闭式防尘布（网）进行苫盖，施工面集中且有条件的地方宜采取洒水降尘等有效措施，减少易造成大气污染的施工作业。</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（3）施工过程中，建设单位应当对裸露地面进行覆盖；暂时不能开工的建设用地超过三个月的，应当进行绿化、铺装或者遮盖。</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（4）进出场地的车辆限制车速，场内道路、堆场及车辆进出时洒水，保持湿润，减少或避免产生扬尘。</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color w:val="auto"/>
                <w:sz w:val="21"/>
                <w:szCs w:val="21"/>
              </w:rPr>
            </w:pPr>
            <w:r>
              <w:rPr>
                <w:rFonts w:hint="default" w:ascii="Times New Roman" w:hAnsi="Times New Roman" w:eastAsia="宋体" w:cs="Times New Roman"/>
                <w:bCs/>
                <w:color w:val="auto"/>
                <w:sz w:val="21"/>
                <w:szCs w:val="21"/>
              </w:rPr>
              <w:t>（5）施工现场禁止将包装物、可燃垃圾等固体废弃物就地焚烧。</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b/>
                <w:bCs/>
                <w:color w:val="auto"/>
                <w:sz w:val="21"/>
                <w:szCs w:val="21"/>
              </w:rPr>
            </w:pPr>
            <w:r>
              <w:rPr>
                <w:rFonts w:hint="eastAsia"/>
                <w:b/>
                <w:bCs/>
                <w:color w:val="auto"/>
                <w:sz w:val="21"/>
                <w:szCs w:val="21"/>
              </w:rPr>
              <w:t>4固体废物处置措施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（1）变电站施工人员利用站内现有垃圾收集系统，线路施工人员租住周边民房，产生的生活垃圾纳入当地生活垃圾收集处理系统。</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（2）施工过程中产生的施工废物料应分类集中堆放，尽可能回收利用，不能回收利用的及时清运交由相关部门进行处理。</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（3）110kV尼西变电站扩建工程</w:t>
            </w:r>
            <w:r>
              <w:rPr>
                <w:rFonts w:hint="default" w:ascii="Times New Roman" w:hAnsi="Times New Roman" w:eastAsia="宋体" w:cs="Times New Roman"/>
                <w:color w:val="auto"/>
                <w:sz w:val="21"/>
                <w:szCs w:val="21"/>
              </w:rPr>
              <w:t>开挖余土在站内挖填区全部回填，架空线路基础开挖产生的余土分别在占地范围内就地回填压实、综合利用；</w:t>
            </w:r>
            <w:r>
              <w:rPr>
                <w:rFonts w:hint="default" w:ascii="Times New Roman" w:hAnsi="Times New Roman" w:eastAsia="宋体" w:cs="Times New Roman"/>
                <w:bCs/>
                <w:color w:val="auto"/>
                <w:sz w:val="21"/>
                <w:szCs w:val="21"/>
              </w:rPr>
              <w:t>塔基施工剥离表土按规范要求集中堆放，施工完毕后用于复垦或植被恢复。</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color w:val="auto"/>
                <w:sz w:val="21"/>
                <w:szCs w:val="21"/>
              </w:rPr>
            </w:pPr>
            <w:r>
              <w:rPr>
                <w:rFonts w:hint="default" w:ascii="Times New Roman" w:hAnsi="Times New Roman" w:eastAsia="宋体" w:cs="Times New Roman"/>
                <w:bCs/>
                <w:color w:val="auto"/>
                <w:sz w:val="21"/>
                <w:szCs w:val="21"/>
              </w:rPr>
              <w:t>（4）在林地、耕地施工时，施工临时占地宜采取隔离保护措施，施工结束后应将混凝土余料和残渣及时清除。</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b/>
                <w:bCs/>
                <w:color w:val="auto"/>
                <w:sz w:val="21"/>
                <w:szCs w:val="21"/>
              </w:rPr>
            </w:pPr>
            <w:r>
              <w:rPr>
                <w:rFonts w:hint="eastAsia"/>
                <w:b/>
                <w:bCs/>
                <w:color w:val="auto"/>
                <w:sz w:val="21"/>
                <w:szCs w:val="21"/>
              </w:rPr>
              <w:t>5地表水环境保护措施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（1）落实文明施工原则，施工单位要做好施工场地周围的拦挡措施，尽量避免雨天开挖作业。</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（2）变电站施工人员施工期生活污水利用站内已建的污水处理设施和处置体系处理，本期不新建环保设施，输电线路施工人员租住周边民房，生活污水依托民房现有设施处理。</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对跨越水体还需采取如下水环境保护措施：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（1）合理选择架线位置，采取一档跨越，不在水中立塔，塔基位置应尽可能远离河岸，减少塔基对河流的影响。</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（2）禁止向水体排放油类，禁止在水体冲洗贮油类车辆，禁止向水体排放、倾倒废水、垃圾等。</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color w:val="auto"/>
                <w:sz w:val="21"/>
                <w:szCs w:val="21"/>
              </w:rPr>
            </w:pPr>
            <w:r>
              <w:rPr>
                <w:rFonts w:hint="default" w:ascii="Times New Roman" w:hAnsi="Times New Roman" w:eastAsia="宋体" w:cs="Times New Roman"/>
                <w:bCs/>
                <w:color w:val="auto"/>
                <w:sz w:val="21"/>
                <w:szCs w:val="21"/>
              </w:rPr>
              <w:t>（3）邻近河流的塔基施工时，施工人员不得在靠近水域附近搭建临时施工生活设施，严禁施工废水、生活污水、生活垃圾等排入水体，影响水体水质，施工场地尽可能远离河流。</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b/>
                <w:bCs/>
                <w:color w:val="auto"/>
                <w:sz w:val="21"/>
                <w:szCs w:val="21"/>
              </w:rPr>
            </w:pPr>
            <w:r>
              <w:rPr>
                <w:rFonts w:hint="eastAsia"/>
                <w:b/>
                <w:bCs/>
                <w:color w:val="auto"/>
                <w:sz w:val="21"/>
                <w:szCs w:val="21"/>
              </w:rPr>
              <w:t>6电磁环境保护措施</w:t>
            </w:r>
          </w:p>
          <w:p>
            <w:pPr>
              <w:pStyle w:val="70"/>
              <w:keepNext w:val="0"/>
              <w:keepLines w:val="0"/>
              <w:pageBreakBefore w:val="0"/>
              <w:widowControl w:val="0"/>
              <w:tabs>
                <w:tab w:val="left" w:pos="212"/>
              </w:tabs>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（1）将变电站内电气设备接地，用截面较大的主筋进行连接；同时辅以增加接地极的数量，增加接地金属网的截面等，以经济有效地降低工频电场、工频磁场。</w:t>
            </w:r>
          </w:p>
          <w:p>
            <w:pPr>
              <w:pStyle w:val="70"/>
              <w:keepNext w:val="0"/>
              <w:keepLines w:val="0"/>
              <w:pageBreakBefore w:val="0"/>
              <w:widowControl w:val="0"/>
              <w:tabs>
                <w:tab w:val="left" w:pos="212"/>
              </w:tabs>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（2）在初步设计及施工阶段，进一步优化线路路径，对沿线居民点进行合理避让。</w:t>
            </w:r>
          </w:p>
          <w:p>
            <w:pPr>
              <w:pStyle w:val="70"/>
              <w:keepNext w:val="0"/>
              <w:keepLines w:val="0"/>
              <w:pageBreakBefore w:val="0"/>
              <w:widowControl w:val="0"/>
              <w:tabs>
                <w:tab w:val="left" w:pos="212"/>
              </w:tabs>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（3）线路需严格按照《110kV～750kV架空输电线路设计规范》（GB50545-2010）设计高度进行设计。</w:t>
            </w:r>
          </w:p>
          <w:p>
            <w:pPr>
              <w:pStyle w:val="70"/>
              <w:keepNext w:val="0"/>
              <w:keepLines w:val="0"/>
              <w:pageBreakBefore w:val="0"/>
              <w:widowControl w:val="0"/>
              <w:tabs>
                <w:tab w:val="left" w:pos="212"/>
              </w:tabs>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（4）严格遵守本项目电磁防护距离，即</w:t>
            </w:r>
            <w:r>
              <w:rPr>
                <w:rFonts w:hint="default" w:ascii="Times New Roman" w:hAnsi="Times New Roman" w:eastAsia="宋体" w:cs="Times New Roman"/>
                <w:color w:val="auto"/>
                <w:sz w:val="21"/>
                <w:szCs w:val="21"/>
              </w:rPr>
              <w:t>本项目新建110kV单回架空线路经过非居民区时，导线对地高度不得低于6.0m；经过居民区时，导线对地高度不得低于11.0m。新建110kV同塔双回架空线路经过非居民区时，导线对地高度不得低于6.0m；经过居民区时，导线对地高度不得低于7.0m</w:t>
            </w:r>
            <w:r>
              <w:rPr>
                <w:rFonts w:hint="default" w:ascii="Times New Roman" w:hAnsi="Times New Roman" w:eastAsia="宋体" w:cs="Times New Roman"/>
                <w:color w:val="auto"/>
                <w:kern w:val="0"/>
                <w:sz w:val="21"/>
                <w:szCs w:val="21"/>
              </w:rPr>
              <w:t>。本项目新建110kV线路在跨越建筑物时，下相导线与建筑物之间的垂直距离应不小于5.0m。</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color w:val="auto"/>
                <w:sz w:val="21"/>
                <w:szCs w:val="21"/>
              </w:rPr>
            </w:pPr>
            <w:r>
              <w:rPr>
                <w:rFonts w:hint="default" w:ascii="Times New Roman" w:hAnsi="Times New Roman" w:eastAsia="宋体" w:cs="Times New Roman"/>
                <w:color w:val="auto"/>
                <w:kern w:val="0"/>
                <w:sz w:val="21"/>
                <w:szCs w:val="21"/>
              </w:rPr>
              <w:t>（5）输电线路穿越非居民区时，在工频电场强度大于4000V/m且小于10kV/m的耕地、园地等公众容易到达的场所区域内设置警示和防护指示标志。</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b/>
                <w:bCs/>
                <w:color w:val="auto"/>
                <w:sz w:val="21"/>
                <w:szCs w:val="21"/>
              </w:rPr>
            </w:pPr>
            <w:r>
              <w:rPr>
                <w:rFonts w:hint="eastAsia"/>
                <w:b/>
                <w:bCs/>
                <w:color w:val="auto"/>
                <w:sz w:val="21"/>
                <w:szCs w:val="21"/>
              </w:rPr>
              <w:t>7环境风险防范措施</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color w:val="auto"/>
                <w:sz w:val="21"/>
                <w:szCs w:val="21"/>
              </w:rPr>
            </w:pPr>
            <w:r>
              <w:rPr>
                <w:rFonts w:hint="default" w:ascii="Times New Roman" w:hAnsi="Times New Roman" w:eastAsia="宋体" w:cs="Times New Roman"/>
                <w:color w:val="auto"/>
                <w:sz w:val="21"/>
                <w:szCs w:val="21"/>
              </w:rPr>
              <w:t>110kV尼西变电站本期2#主变集油坑应采用全现浇钢筋混凝土结构，池体采用抗渗等级不低于P6的混凝土浇筑，并分别在其下方基础层铺设防渗层，防渗层为至少1m厚的粘土层（渗透系数≤10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cm/s），或2mm厚高密度聚乙烯，或至少2mm厚的其它人工材料，渗透系数≤10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cm/s，防渗效果能满足《危险废物贮存污染控制标准》（GB18597-2001）（2013年修订）中的相关要求。</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cs="Times New Roman"/>
                <w:b/>
                <w:bCs/>
                <w:color w:val="auto"/>
                <w:sz w:val="21"/>
                <w:szCs w:val="21"/>
              </w:rPr>
            </w:pPr>
            <w:r>
              <w:rPr>
                <w:rFonts w:ascii="Times New Roman" w:hAnsi="Times New Roman" w:cs="Times New Roman"/>
                <w:b/>
                <w:bCs/>
                <w:color w:val="auto"/>
                <w:sz w:val="21"/>
                <w:szCs w:val="21"/>
              </w:rPr>
              <w:t>二、运行期环保措施</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1</w:t>
            </w:r>
            <w:r>
              <w:rPr>
                <w:rFonts w:hint="eastAsia" w:ascii="Times New Roman" w:hAnsi="Times New Roman" w:cs="Times New Roman" w:eastAsiaTheme="minorEastAsia"/>
                <w:b/>
                <w:bCs/>
                <w:color w:val="auto"/>
                <w:sz w:val="21"/>
                <w:szCs w:val="21"/>
              </w:rPr>
              <w:t>生态</w:t>
            </w:r>
            <w:r>
              <w:rPr>
                <w:rFonts w:ascii="Times New Roman" w:hAnsi="Times New Roman" w:cs="Times New Roman" w:eastAsiaTheme="minorEastAsia"/>
                <w:b/>
                <w:bCs/>
                <w:color w:val="auto"/>
                <w:sz w:val="21"/>
                <w:szCs w:val="21"/>
              </w:rPr>
              <w:t>环境保护措施</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（1）强化对设备检修维护人员的生态保护意识教育，加强管理，禁止滥采滥伐和捕猎野生动物，避免因此导致的沿线自然植被破坏和野生动物的影响；</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（2）定期对线路沿线生态保护和防护措施进行检查，跟踪生态保护与恢复效果，以便及时采取后续措施。</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
                <w:bCs/>
                <w:color w:val="auto"/>
                <w:sz w:val="21"/>
                <w:szCs w:val="21"/>
                <w:lang w:val="en-US" w:eastAsia="zh-CN"/>
              </w:rPr>
              <w:t>2</w:t>
            </w:r>
            <w:r>
              <w:rPr>
                <w:rFonts w:hint="default" w:ascii="Times New Roman" w:hAnsi="Times New Roman" w:cs="Times New Roman" w:eastAsiaTheme="minorEastAsia"/>
                <w:b/>
                <w:bCs/>
                <w:color w:val="auto"/>
                <w:sz w:val="21"/>
                <w:szCs w:val="21"/>
              </w:rPr>
              <w:t>电磁环境保护措施</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rPr>
            </w:pPr>
            <w:r>
              <w:rPr>
                <w:rFonts w:hint="eastAsia" w:ascii="Times New Roman" w:hAnsi="Times New Roman" w:cs="Times New Roman" w:eastAsiaTheme="minorEastAsia"/>
                <w:color w:val="auto"/>
                <w:sz w:val="21"/>
                <w:szCs w:val="21"/>
              </w:rPr>
              <w:t>（1）</w:t>
            </w:r>
            <w:r>
              <w:rPr>
                <w:rFonts w:hint="default" w:ascii="Times New Roman" w:hAnsi="Times New Roman" w:eastAsia="宋体" w:cs="Times New Roman"/>
                <w:color w:val="auto"/>
                <w:sz w:val="21"/>
                <w:szCs w:val="21"/>
              </w:rPr>
              <w:t>加强环境管理，保证工频电磁场强度小于公众曝露限值。</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cs="Times New Roman" w:eastAsiaTheme="minorEastAsia"/>
                <w:b/>
                <w:bCs/>
                <w:color w:val="auto"/>
                <w:sz w:val="21"/>
                <w:szCs w:val="21"/>
              </w:rPr>
            </w:pPr>
            <w:r>
              <w:rPr>
                <w:rFonts w:hint="eastAsia" w:ascii="Times New Roman" w:hAnsi="Times New Roman" w:cs="Times New Roman" w:eastAsiaTheme="minorEastAsia"/>
                <w:b/>
                <w:bCs/>
                <w:color w:val="auto"/>
                <w:sz w:val="21"/>
                <w:szCs w:val="21"/>
                <w:lang w:val="en-US" w:eastAsia="zh-CN"/>
              </w:rPr>
              <w:t>3</w:t>
            </w:r>
            <w:r>
              <w:rPr>
                <w:rFonts w:ascii="Times New Roman" w:hAnsi="Times New Roman" w:cs="Times New Roman" w:eastAsiaTheme="minorEastAsia"/>
                <w:b/>
                <w:bCs/>
                <w:color w:val="auto"/>
                <w:sz w:val="21"/>
                <w:szCs w:val="21"/>
              </w:rPr>
              <w:t>声环境保护措施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（1）优选低噪声设备，主变压器1m处声源等效声压级控制在65dB(A)以内。</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cs="Times New Roman" w:eastAsiaTheme="minorEastAsia"/>
                <w:color w:val="auto"/>
                <w:sz w:val="21"/>
                <w:szCs w:val="21"/>
              </w:rPr>
            </w:pPr>
            <w:r>
              <w:rPr>
                <w:rFonts w:hint="default" w:ascii="Times New Roman" w:hAnsi="Times New Roman" w:eastAsia="宋体" w:cs="Times New Roman"/>
                <w:color w:val="auto"/>
                <w:sz w:val="21"/>
                <w:szCs w:val="21"/>
              </w:rPr>
              <w:t>（2）定期对站内电气设备进行检修，保证主变等运行良好。</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cs="Times New Roman" w:eastAsiaTheme="minorEastAsia"/>
                <w:b/>
                <w:bCs/>
                <w:color w:val="auto"/>
                <w:sz w:val="21"/>
                <w:szCs w:val="21"/>
              </w:rPr>
            </w:pPr>
            <w:r>
              <w:rPr>
                <w:rFonts w:hint="eastAsia" w:ascii="Times New Roman" w:hAnsi="Times New Roman" w:cs="Times New Roman" w:eastAsiaTheme="minorEastAsia"/>
                <w:b/>
                <w:bCs/>
                <w:color w:val="auto"/>
                <w:sz w:val="21"/>
                <w:szCs w:val="21"/>
                <w:lang w:val="en-US" w:eastAsia="zh-CN"/>
              </w:rPr>
              <w:t>4</w:t>
            </w:r>
            <w:r>
              <w:rPr>
                <w:rFonts w:ascii="Times New Roman" w:hAnsi="Times New Roman" w:cs="Times New Roman" w:eastAsiaTheme="minorEastAsia"/>
                <w:b/>
                <w:bCs/>
                <w:color w:val="auto"/>
                <w:sz w:val="21"/>
                <w:szCs w:val="21"/>
              </w:rPr>
              <w:t>地表水环境保护措施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（1）110kV尼西变电站以及220kV香格里拉变电站本期不增加运行人员，不增加生活污水量，本期依托原有工程的污水处理及利用方式，不新增对周围水环境产生影响。</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cs="Times New Roman" w:eastAsiaTheme="minorEastAsia"/>
                <w:color w:val="auto"/>
                <w:sz w:val="21"/>
                <w:szCs w:val="21"/>
              </w:rPr>
            </w:pPr>
            <w:r>
              <w:rPr>
                <w:rFonts w:hint="default" w:ascii="Times New Roman" w:hAnsi="Times New Roman" w:eastAsia="宋体" w:cs="Times New Roman"/>
                <w:color w:val="auto"/>
                <w:sz w:val="21"/>
                <w:szCs w:val="21"/>
              </w:rPr>
              <w:t>（2）线路运维人员定期巡线过程中，应避免在沿线水体附近随意丢弃废弃物和排放生活污水，防止对水质产生影响。</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cs="Times New Roman" w:eastAsiaTheme="minorEastAsia"/>
                <w:b/>
                <w:bCs/>
                <w:color w:val="auto"/>
                <w:sz w:val="21"/>
                <w:szCs w:val="21"/>
              </w:rPr>
            </w:pPr>
            <w:r>
              <w:rPr>
                <w:rFonts w:hint="eastAsia" w:ascii="Times New Roman" w:hAnsi="Times New Roman" w:cs="Times New Roman" w:eastAsiaTheme="minorEastAsia"/>
                <w:b/>
                <w:bCs/>
                <w:color w:val="auto"/>
                <w:sz w:val="21"/>
                <w:szCs w:val="21"/>
                <w:lang w:val="en-US" w:eastAsia="zh-CN"/>
              </w:rPr>
              <w:t>5</w:t>
            </w:r>
            <w:r>
              <w:rPr>
                <w:rFonts w:ascii="Times New Roman" w:hAnsi="Times New Roman" w:cs="Times New Roman" w:eastAsiaTheme="minorEastAsia"/>
                <w:b/>
                <w:bCs/>
                <w:color w:val="auto"/>
                <w:sz w:val="21"/>
                <w:szCs w:val="21"/>
              </w:rPr>
              <w:t>固体废物处置措施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（1）110kV尼西变电站以及220kV香格里拉变电站本期不增加运行人员，不新增生活垃圾产生量，变电站值守及运维检修人员产生的生活垃圾集中定点收集后统一清运处理。</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w:t>
            </w:r>
            <w:r>
              <w:rPr>
                <w:rFonts w:hint="default" w:ascii="Times New Roman" w:hAnsi="Times New Roman" w:eastAsia="宋体" w:cs="Times New Roman"/>
                <w:color w:val="auto"/>
                <w:sz w:val="21"/>
                <w:szCs w:val="21"/>
              </w:rPr>
              <w:t>110kV尼西变电站以及220kV香格里拉变电站本期不新增站内蓄电池组，不增加废铅酸蓄电池产生量，后续运营过程中产生的废旧铅酸蓄电池不暂存，及时交由相应危险废物处理资质单位进行安全处置。</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（3）在主变压器发生事故或检修时，可能有变压器油排入事故油池，事故油经收集后回收处理利用；不能回收的要交由有资质的单位进行安全处置。</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cs="Times New Roman" w:eastAsiaTheme="minorEastAsia"/>
                <w:color w:val="auto"/>
                <w:sz w:val="21"/>
                <w:szCs w:val="21"/>
              </w:rPr>
            </w:pPr>
            <w:r>
              <w:rPr>
                <w:rFonts w:hint="default" w:ascii="Times New Roman" w:hAnsi="Times New Roman" w:eastAsia="宋体" w:cs="Times New Roman"/>
                <w:bCs/>
                <w:color w:val="auto"/>
                <w:sz w:val="21"/>
                <w:szCs w:val="21"/>
              </w:rPr>
              <w:t>（4）建设单位应严格按照《危险废物贮存污染控制标准》（GB18597-2001）（2013年修改单）、《危险废物收集、贮存、运输技术规范》（HJ2025-2012）、《废矿物油回收利用污染控制技术规范》（HJ607-2011）、《废铅酸蓄电池处理污染控制技术规范》（HJ519-2020）等相关技术规范，落实危险废物的环境管理，包括危险废物收集、贮存、运输、处置。</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cs="Times New Roman" w:eastAsiaTheme="minorEastAsia"/>
                <w:b/>
                <w:bCs/>
                <w:color w:val="auto"/>
                <w:sz w:val="21"/>
                <w:szCs w:val="21"/>
              </w:rPr>
            </w:pPr>
            <w:r>
              <w:rPr>
                <w:rFonts w:hint="eastAsia" w:ascii="Times New Roman" w:hAnsi="Times New Roman" w:cs="Times New Roman" w:eastAsiaTheme="minorEastAsia"/>
                <w:b/>
                <w:bCs/>
                <w:color w:val="auto"/>
                <w:sz w:val="21"/>
                <w:szCs w:val="21"/>
                <w:lang w:val="en-US" w:eastAsia="zh-CN"/>
              </w:rPr>
              <w:t>6</w:t>
            </w:r>
            <w:r>
              <w:rPr>
                <w:rFonts w:ascii="Times New Roman" w:hAnsi="Times New Roman" w:cs="Times New Roman" w:eastAsiaTheme="minorEastAsia"/>
                <w:b/>
                <w:bCs/>
                <w:color w:val="auto"/>
                <w:sz w:val="21"/>
                <w:szCs w:val="21"/>
              </w:rPr>
              <w:t>环境风险防范措施</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（1）要求运维人员加强对事故油池及其排导系统进行定期巡查和维护，做好运行期间的管理工作；定期对事故油池的完好情况进行检查，确保无渗漏、无溢流。</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变电站工程事故或检修过程中可能产生的变压器油经事故集油池收集后回收处理利用。不能回收的交由有资质的单位进行处置，同时该单位要按照《危险废物转移管理办法》，实施危险废物转移联单制度并按照规定制作标志标识。</w:t>
            </w:r>
          </w:p>
          <w:p>
            <w:pPr>
              <w:pStyle w:val="69"/>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ascii="Times New Roman" w:hAnsi="Times New Roman" w:eastAsiaTheme="minorEastAsia"/>
                <w:color w:val="auto"/>
                <w:sz w:val="21"/>
                <w:szCs w:val="21"/>
              </w:rPr>
            </w:pPr>
            <w:r>
              <w:rPr>
                <w:rFonts w:hint="default" w:ascii="Times New Roman" w:hAnsi="Times New Roman" w:eastAsia="宋体" w:cs="Times New Roman"/>
                <w:bCs/>
                <w:color w:val="auto"/>
                <w:sz w:val="21"/>
                <w:szCs w:val="21"/>
              </w:rPr>
              <w:t>（3）针对变电站内可能发生的突发环境事件，应按照国家《突发环境事件应急管理办法》等有关规定制定突发环境事件应急预案，并定期演练。</w:t>
            </w:r>
          </w:p>
        </w:tc>
      </w:tr>
    </w:tbl>
    <w:p>
      <w:pPr>
        <w:pStyle w:val="10"/>
        <w:rPr>
          <w:rFonts w:ascii="仿宋" w:hAnsi="仿宋" w:eastAsia="仿宋" w:cs="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E47A1"/>
    <w:rsid w:val="00014AC2"/>
    <w:rsid w:val="00041003"/>
    <w:rsid w:val="000748B5"/>
    <w:rsid w:val="0009538C"/>
    <w:rsid w:val="000C7EB1"/>
    <w:rsid w:val="000F77A7"/>
    <w:rsid w:val="0010631C"/>
    <w:rsid w:val="001E5A7C"/>
    <w:rsid w:val="00242D73"/>
    <w:rsid w:val="00267369"/>
    <w:rsid w:val="002C720D"/>
    <w:rsid w:val="002E5F68"/>
    <w:rsid w:val="00340FB4"/>
    <w:rsid w:val="00354317"/>
    <w:rsid w:val="00371D12"/>
    <w:rsid w:val="003876B4"/>
    <w:rsid w:val="003B3C17"/>
    <w:rsid w:val="004607A5"/>
    <w:rsid w:val="004750C1"/>
    <w:rsid w:val="00487AC2"/>
    <w:rsid w:val="00516542"/>
    <w:rsid w:val="0054667E"/>
    <w:rsid w:val="00561F90"/>
    <w:rsid w:val="005A3AB1"/>
    <w:rsid w:val="005B56FE"/>
    <w:rsid w:val="00616F32"/>
    <w:rsid w:val="00666EFC"/>
    <w:rsid w:val="00670402"/>
    <w:rsid w:val="006E6A45"/>
    <w:rsid w:val="006F74E9"/>
    <w:rsid w:val="00700BAB"/>
    <w:rsid w:val="00741733"/>
    <w:rsid w:val="007A1055"/>
    <w:rsid w:val="007B008F"/>
    <w:rsid w:val="007D1CA1"/>
    <w:rsid w:val="007E20C0"/>
    <w:rsid w:val="008224E4"/>
    <w:rsid w:val="00861071"/>
    <w:rsid w:val="0086117E"/>
    <w:rsid w:val="008C2667"/>
    <w:rsid w:val="008F0811"/>
    <w:rsid w:val="00914C31"/>
    <w:rsid w:val="00950187"/>
    <w:rsid w:val="00952433"/>
    <w:rsid w:val="009A34F6"/>
    <w:rsid w:val="009F1347"/>
    <w:rsid w:val="009F2786"/>
    <w:rsid w:val="00A157BA"/>
    <w:rsid w:val="00A20A94"/>
    <w:rsid w:val="00A551FA"/>
    <w:rsid w:val="00A8184C"/>
    <w:rsid w:val="00A83EDE"/>
    <w:rsid w:val="00AA7CA1"/>
    <w:rsid w:val="00AC403B"/>
    <w:rsid w:val="00B42D02"/>
    <w:rsid w:val="00B51A85"/>
    <w:rsid w:val="00B67C45"/>
    <w:rsid w:val="00B932D0"/>
    <w:rsid w:val="00BE2CAF"/>
    <w:rsid w:val="00C25030"/>
    <w:rsid w:val="00C73719"/>
    <w:rsid w:val="00C75438"/>
    <w:rsid w:val="00C83A1D"/>
    <w:rsid w:val="00CD1065"/>
    <w:rsid w:val="00CD2A92"/>
    <w:rsid w:val="00CD591A"/>
    <w:rsid w:val="00D12B67"/>
    <w:rsid w:val="00D82C3E"/>
    <w:rsid w:val="00D970A3"/>
    <w:rsid w:val="00DB0267"/>
    <w:rsid w:val="00E20846"/>
    <w:rsid w:val="00E41AFB"/>
    <w:rsid w:val="00E60DCC"/>
    <w:rsid w:val="00E707F9"/>
    <w:rsid w:val="00E84CF0"/>
    <w:rsid w:val="00E9167F"/>
    <w:rsid w:val="00EC09CB"/>
    <w:rsid w:val="00EF2642"/>
    <w:rsid w:val="00EF44CA"/>
    <w:rsid w:val="00EF639D"/>
    <w:rsid w:val="00F37D82"/>
    <w:rsid w:val="00F77483"/>
    <w:rsid w:val="00FE049C"/>
    <w:rsid w:val="01034725"/>
    <w:rsid w:val="01053756"/>
    <w:rsid w:val="016D14E0"/>
    <w:rsid w:val="017F4179"/>
    <w:rsid w:val="01D7201D"/>
    <w:rsid w:val="021212B2"/>
    <w:rsid w:val="02474FF2"/>
    <w:rsid w:val="025163A9"/>
    <w:rsid w:val="02DA7779"/>
    <w:rsid w:val="03482175"/>
    <w:rsid w:val="03D7472B"/>
    <w:rsid w:val="03ED58D4"/>
    <w:rsid w:val="04361161"/>
    <w:rsid w:val="044D7CA8"/>
    <w:rsid w:val="046F5EEF"/>
    <w:rsid w:val="048D1DA9"/>
    <w:rsid w:val="04D6770E"/>
    <w:rsid w:val="05200111"/>
    <w:rsid w:val="06290FCB"/>
    <w:rsid w:val="07021F42"/>
    <w:rsid w:val="074265FD"/>
    <w:rsid w:val="07934261"/>
    <w:rsid w:val="07F6705A"/>
    <w:rsid w:val="081A5607"/>
    <w:rsid w:val="08286FBC"/>
    <w:rsid w:val="084D4018"/>
    <w:rsid w:val="096226E0"/>
    <w:rsid w:val="09922FBD"/>
    <w:rsid w:val="09963651"/>
    <w:rsid w:val="0A2944D4"/>
    <w:rsid w:val="0A2B4DE0"/>
    <w:rsid w:val="0A436D76"/>
    <w:rsid w:val="0AA40ED6"/>
    <w:rsid w:val="0ABC2906"/>
    <w:rsid w:val="0B320E60"/>
    <w:rsid w:val="0B843150"/>
    <w:rsid w:val="0BF04148"/>
    <w:rsid w:val="0CA3069C"/>
    <w:rsid w:val="0D1C7438"/>
    <w:rsid w:val="0D3D28E4"/>
    <w:rsid w:val="0DC31F4C"/>
    <w:rsid w:val="0E3A0E43"/>
    <w:rsid w:val="0E6C4ACF"/>
    <w:rsid w:val="0E9A6BA8"/>
    <w:rsid w:val="0F352C6F"/>
    <w:rsid w:val="0F491AEC"/>
    <w:rsid w:val="0F5173F8"/>
    <w:rsid w:val="0F661BCB"/>
    <w:rsid w:val="0FFD095B"/>
    <w:rsid w:val="107A44AF"/>
    <w:rsid w:val="107E1BA8"/>
    <w:rsid w:val="10902C58"/>
    <w:rsid w:val="113A79C2"/>
    <w:rsid w:val="11CE20A8"/>
    <w:rsid w:val="12254D28"/>
    <w:rsid w:val="12347E2D"/>
    <w:rsid w:val="12955F82"/>
    <w:rsid w:val="13625C20"/>
    <w:rsid w:val="140C1929"/>
    <w:rsid w:val="146039E3"/>
    <w:rsid w:val="158E5771"/>
    <w:rsid w:val="15E53500"/>
    <w:rsid w:val="15F82C86"/>
    <w:rsid w:val="16146DF3"/>
    <w:rsid w:val="167B5883"/>
    <w:rsid w:val="16FE5DA6"/>
    <w:rsid w:val="17096CE9"/>
    <w:rsid w:val="178830FB"/>
    <w:rsid w:val="183A1FB4"/>
    <w:rsid w:val="18483C23"/>
    <w:rsid w:val="18740618"/>
    <w:rsid w:val="18D24AB1"/>
    <w:rsid w:val="191D7FA6"/>
    <w:rsid w:val="19520220"/>
    <w:rsid w:val="198F0BC4"/>
    <w:rsid w:val="19AF3AE1"/>
    <w:rsid w:val="1A2572FE"/>
    <w:rsid w:val="1A9C4C2E"/>
    <w:rsid w:val="1AC34852"/>
    <w:rsid w:val="1AE977B4"/>
    <w:rsid w:val="1AEE5C86"/>
    <w:rsid w:val="1B2074DE"/>
    <w:rsid w:val="1C153B00"/>
    <w:rsid w:val="1CAA4248"/>
    <w:rsid w:val="1CBF4263"/>
    <w:rsid w:val="1D280132"/>
    <w:rsid w:val="1D46628F"/>
    <w:rsid w:val="1D50709D"/>
    <w:rsid w:val="1E437782"/>
    <w:rsid w:val="1F337B98"/>
    <w:rsid w:val="1F756A8D"/>
    <w:rsid w:val="1FAE5795"/>
    <w:rsid w:val="205C72F5"/>
    <w:rsid w:val="211E318F"/>
    <w:rsid w:val="21632D2D"/>
    <w:rsid w:val="223405D1"/>
    <w:rsid w:val="224E713F"/>
    <w:rsid w:val="22F00F2E"/>
    <w:rsid w:val="22F31023"/>
    <w:rsid w:val="23543577"/>
    <w:rsid w:val="23562773"/>
    <w:rsid w:val="237853D7"/>
    <w:rsid w:val="23BB3075"/>
    <w:rsid w:val="248263CC"/>
    <w:rsid w:val="2495651B"/>
    <w:rsid w:val="24D658CF"/>
    <w:rsid w:val="25123FF1"/>
    <w:rsid w:val="25446E7D"/>
    <w:rsid w:val="25F374EE"/>
    <w:rsid w:val="26076E3A"/>
    <w:rsid w:val="262C63D9"/>
    <w:rsid w:val="263B26BF"/>
    <w:rsid w:val="26546AE4"/>
    <w:rsid w:val="267A1317"/>
    <w:rsid w:val="26D97646"/>
    <w:rsid w:val="277636F2"/>
    <w:rsid w:val="27A02EA3"/>
    <w:rsid w:val="287E6AF0"/>
    <w:rsid w:val="288A2F76"/>
    <w:rsid w:val="29350F6F"/>
    <w:rsid w:val="298F4D42"/>
    <w:rsid w:val="29AD2453"/>
    <w:rsid w:val="2AE861AF"/>
    <w:rsid w:val="2B4B1C9B"/>
    <w:rsid w:val="2BA94806"/>
    <w:rsid w:val="2CB30181"/>
    <w:rsid w:val="2CDA6E3F"/>
    <w:rsid w:val="2D3821CC"/>
    <w:rsid w:val="2D5A1247"/>
    <w:rsid w:val="2D5E0B09"/>
    <w:rsid w:val="2DFF6E8B"/>
    <w:rsid w:val="2E3B6175"/>
    <w:rsid w:val="2E477CA7"/>
    <w:rsid w:val="2E9661ED"/>
    <w:rsid w:val="2F3D7007"/>
    <w:rsid w:val="2F9A168B"/>
    <w:rsid w:val="308B33EE"/>
    <w:rsid w:val="30927C4B"/>
    <w:rsid w:val="30DD6FDF"/>
    <w:rsid w:val="311A7CD3"/>
    <w:rsid w:val="32312D6A"/>
    <w:rsid w:val="327056D5"/>
    <w:rsid w:val="3361079D"/>
    <w:rsid w:val="33DF2FCA"/>
    <w:rsid w:val="34DE7F50"/>
    <w:rsid w:val="36942D69"/>
    <w:rsid w:val="370E6B08"/>
    <w:rsid w:val="38367631"/>
    <w:rsid w:val="387C212E"/>
    <w:rsid w:val="38FF2FF8"/>
    <w:rsid w:val="39511867"/>
    <w:rsid w:val="39BE792E"/>
    <w:rsid w:val="39E45A8C"/>
    <w:rsid w:val="39FD4011"/>
    <w:rsid w:val="3A62326C"/>
    <w:rsid w:val="3B1E6030"/>
    <w:rsid w:val="3B380FA2"/>
    <w:rsid w:val="3BF94BA8"/>
    <w:rsid w:val="3D2A63E8"/>
    <w:rsid w:val="3DB752EE"/>
    <w:rsid w:val="3DCC2543"/>
    <w:rsid w:val="3E532C05"/>
    <w:rsid w:val="3E5C6A0F"/>
    <w:rsid w:val="3F497411"/>
    <w:rsid w:val="3F5F4BEE"/>
    <w:rsid w:val="3FBC6F34"/>
    <w:rsid w:val="4037607C"/>
    <w:rsid w:val="40901CB8"/>
    <w:rsid w:val="409D4267"/>
    <w:rsid w:val="40D006BB"/>
    <w:rsid w:val="42100CCB"/>
    <w:rsid w:val="42353598"/>
    <w:rsid w:val="42C52A93"/>
    <w:rsid w:val="43433AA3"/>
    <w:rsid w:val="435C7A1D"/>
    <w:rsid w:val="43A1326F"/>
    <w:rsid w:val="441B54BE"/>
    <w:rsid w:val="44865FCB"/>
    <w:rsid w:val="459D5F25"/>
    <w:rsid w:val="45DC1C1A"/>
    <w:rsid w:val="46AC7A93"/>
    <w:rsid w:val="47D838C7"/>
    <w:rsid w:val="48A124CC"/>
    <w:rsid w:val="493355A1"/>
    <w:rsid w:val="494E2AD8"/>
    <w:rsid w:val="4AA750C6"/>
    <w:rsid w:val="4AFD2777"/>
    <w:rsid w:val="4B3B07B5"/>
    <w:rsid w:val="4B6E05FB"/>
    <w:rsid w:val="4BC8780A"/>
    <w:rsid w:val="4C7762A2"/>
    <w:rsid w:val="4D73322E"/>
    <w:rsid w:val="4DB63D21"/>
    <w:rsid w:val="4E8B22BF"/>
    <w:rsid w:val="4EAA1C45"/>
    <w:rsid w:val="4EF42281"/>
    <w:rsid w:val="4F5C5329"/>
    <w:rsid w:val="4F9573D9"/>
    <w:rsid w:val="50261318"/>
    <w:rsid w:val="50604DE3"/>
    <w:rsid w:val="515C2249"/>
    <w:rsid w:val="52457ABD"/>
    <w:rsid w:val="52E31DC5"/>
    <w:rsid w:val="52EA4231"/>
    <w:rsid w:val="53E83B60"/>
    <w:rsid w:val="53F34928"/>
    <w:rsid w:val="54226F23"/>
    <w:rsid w:val="545770C8"/>
    <w:rsid w:val="54987FB3"/>
    <w:rsid w:val="5539419A"/>
    <w:rsid w:val="557F745A"/>
    <w:rsid w:val="55AC14D3"/>
    <w:rsid w:val="5650409D"/>
    <w:rsid w:val="56852FF6"/>
    <w:rsid w:val="56873D5F"/>
    <w:rsid w:val="56AE0F49"/>
    <w:rsid w:val="577C13A9"/>
    <w:rsid w:val="57A27A59"/>
    <w:rsid w:val="58467576"/>
    <w:rsid w:val="586E2CE2"/>
    <w:rsid w:val="58870139"/>
    <w:rsid w:val="58CF4FC5"/>
    <w:rsid w:val="5971254A"/>
    <w:rsid w:val="59943812"/>
    <w:rsid w:val="5ADB3354"/>
    <w:rsid w:val="5B053430"/>
    <w:rsid w:val="5BCD5FEF"/>
    <w:rsid w:val="5C2608AA"/>
    <w:rsid w:val="5C2E47A1"/>
    <w:rsid w:val="5CB642FC"/>
    <w:rsid w:val="5D317D36"/>
    <w:rsid w:val="5D497231"/>
    <w:rsid w:val="5D592F73"/>
    <w:rsid w:val="5E9135E3"/>
    <w:rsid w:val="5EB00F71"/>
    <w:rsid w:val="5EB10EB1"/>
    <w:rsid w:val="5F325F88"/>
    <w:rsid w:val="5F660132"/>
    <w:rsid w:val="6004235B"/>
    <w:rsid w:val="60BD645C"/>
    <w:rsid w:val="61324791"/>
    <w:rsid w:val="613E31C8"/>
    <w:rsid w:val="61A22306"/>
    <w:rsid w:val="62FB6E8E"/>
    <w:rsid w:val="63A20E15"/>
    <w:rsid w:val="64570EA6"/>
    <w:rsid w:val="647F68C2"/>
    <w:rsid w:val="64FD7B2A"/>
    <w:rsid w:val="65036D23"/>
    <w:rsid w:val="668C1603"/>
    <w:rsid w:val="67056124"/>
    <w:rsid w:val="67972124"/>
    <w:rsid w:val="67BC3C44"/>
    <w:rsid w:val="68164706"/>
    <w:rsid w:val="681F17A1"/>
    <w:rsid w:val="68CB4943"/>
    <w:rsid w:val="69B61D0E"/>
    <w:rsid w:val="69F52DF1"/>
    <w:rsid w:val="6A51645C"/>
    <w:rsid w:val="6A79771F"/>
    <w:rsid w:val="6B664628"/>
    <w:rsid w:val="6B96750A"/>
    <w:rsid w:val="6B9A1F3C"/>
    <w:rsid w:val="6CA46B38"/>
    <w:rsid w:val="6CB12261"/>
    <w:rsid w:val="6D367593"/>
    <w:rsid w:val="6D835178"/>
    <w:rsid w:val="6E0E24A3"/>
    <w:rsid w:val="6E184CD4"/>
    <w:rsid w:val="6E2149F2"/>
    <w:rsid w:val="6E5D2888"/>
    <w:rsid w:val="6E9202B3"/>
    <w:rsid w:val="6F505F11"/>
    <w:rsid w:val="6FC074F8"/>
    <w:rsid w:val="6FDB73B5"/>
    <w:rsid w:val="703125FB"/>
    <w:rsid w:val="70572E18"/>
    <w:rsid w:val="706E0409"/>
    <w:rsid w:val="7095148D"/>
    <w:rsid w:val="709A562A"/>
    <w:rsid w:val="715F2AC8"/>
    <w:rsid w:val="71C4364F"/>
    <w:rsid w:val="72AE498F"/>
    <w:rsid w:val="735C7AD5"/>
    <w:rsid w:val="74037850"/>
    <w:rsid w:val="7474779B"/>
    <w:rsid w:val="748B7280"/>
    <w:rsid w:val="748C0099"/>
    <w:rsid w:val="74C1100B"/>
    <w:rsid w:val="74E7407A"/>
    <w:rsid w:val="753000DB"/>
    <w:rsid w:val="7530193C"/>
    <w:rsid w:val="75D26C5E"/>
    <w:rsid w:val="75DF2AD0"/>
    <w:rsid w:val="75EE75DA"/>
    <w:rsid w:val="77044A9B"/>
    <w:rsid w:val="77C34457"/>
    <w:rsid w:val="79121FCC"/>
    <w:rsid w:val="791F5D19"/>
    <w:rsid w:val="79387DCF"/>
    <w:rsid w:val="79B15AAC"/>
    <w:rsid w:val="79B851FC"/>
    <w:rsid w:val="79D649A6"/>
    <w:rsid w:val="7A427859"/>
    <w:rsid w:val="7A717716"/>
    <w:rsid w:val="7A7A14A1"/>
    <w:rsid w:val="7AC773D9"/>
    <w:rsid w:val="7AE34835"/>
    <w:rsid w:val="7AEC27EC"/>
    <w:rsid w:val="7B045B88"/>
    <w:rsid w:val="7C0673B9"/>
    <w:rsid w:val="7C477CB7"/>
    <w:rsid w:val="7D8F4470"/>
    <w:rsid w:val="7DB745AD"/>
    <w:rsid w:val="7E0D52A9"/>
    <w:rsid w:val="7E8F747F"/>
    <w:rsid w:val="7EA445B3"/>
    <w:rsid w:val="7FA462BA"/>
    <w:rsid w:val="7FDF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left"/>
      <w:outlineLvl w:val="0"/>
    </w:pPr>
    <w:rPr>
      <w:rFonts w:eastAsia="新宋体"/>
      <w:bCs/>
      <w:kern w:val="44"/>
      <w:szCs w:val="44"/>
    </w:rPr>
  </w:style>
  <w:style w:type="paragraph" w:styleId="4">
    <w:name w:val="heading 2"/>
    <w:basedOn w:val="1"/>
    <w:next w:val="5"/>
    <w:unhideWhenUsed/>
    <w:qFormat/>
    <w:uiPriority w:val="0"/>
    <w:pPr>
      <w:spacing w:beforeAutospacing="1" w:afterAutospacing="1"/>
      <w:outlineLvl w:val="1"/>
    </w:pPr>
    <w:rPr>
      <w:rFonts w:hint="eastAsia" w:ascii="宋体" w:hAnsi="宋体" w:eastAsia="宋体" w:cs="Times New Roman"/>
      <w:b/>
      <w:kern w:val="0"/>
      <w:sz w:val="36"/>
      <w:szCs w:val="36"/>
    </w:rPr>
  </w:style>
  <w:style w:type="paragraph" w:styleId="6">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7">
    <w:name w:val="heading 4"/>
    <w:basedOn w:val="1"/>
    <w:next w:val="1"/>
    <w:unhideWhenUsed/>
    <w:qFormat/>
    <w:uiPriority w:val="0"/>
    <w:pPr>
      <w:keepNext/>
      <w:keepLines/>
      <w:adjustRightInd w:val="0"/>
      <w:snapToGrid w:val="0"/>
      <w:spacing w:before="50" w:beforeLines="50" w:line="360" w:lineRule="auto"/>
      <w:ind w:firstLine="1040" w:firstLineChars="200"/>
      <w:outlineLvl w:val="3"/>
    </w:pPr>
    <w:rPr>
      <w:b/>
      <w:sz w:val="24"/>
    </w:rPr>
  </w:style>
  <w:style w:type="paragraph" w:styleId="8">
    <w:name w:val="heading 5"/>
    <w:basedOn w:val="1"/>
    <w:next w:val="1"/>
    <w:link w:val="45"/>
    <w:unhideWhenUsed/>
    <w:qFormat/>
    <w:uiPriority w:val="0"/>
    <w:pPr>
      <w:keepNext/>
      <w:keepLines/>
      <w:spacing w:before="280" w:after="290" w:line="376" w:lineRule="auto"/>
      <w:outlineLvl w:val="4"/>
    </w:pPr>
    <w:rPr>
      <w:b/>
      <w:bCs/>
      <w:sz w:val="28"/>
      <w:szCs w:val="28"/>
    </w:rPr>
  </w:style>
  <w:style w:type="character" w:default="1" w:styleId="22">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1"/>
    <w:qFormat/>
    <w:uiPriority w:val="0"/>
    <w:pPr>
      <w:spacing w:beforeLines="50" w:afterLines="50" w:line="360" w:lineRule="auto"/>
      <w:ind w:firstLine="200" w:firstLineChars="200"/>
    </w:pPr>
    <w:rPr>
      <w:rFonts w:ascii="Times New Roman" w:hAnsi="Times New Roman"/>
    </w:rPr>
  </w:style>
  <w:style w:type="paragraph" w:styleId="9">
    <w:name w:val="Body Text First Indent"/>
    <w:basedOn w:val="10"/>
    <w:next w:val="1"/>
    <w:unhideWhenUsed/>
    <w:qFormat/>
    <w:uiPriority w:val="0"/>
    <w:pPr>
      <w:spacing w:after="120"/>
      <w:ind w:firstLine="420" w:firstLineChars="100"/>
    </w:pPr>
    <w:rPr>
      <w:rFonts w:eastAsia="宋体"/>
    </w:rPr>
  </w:style>
  <w:style w:type="paragraph" w:styleId="10">
    <w:name w:val="Body Text"/>
    <w:basedOn w:val="1"/>
    <w:next w:val="1"/>
    <w:qFormat/>
    <w:uiPriority w:val="0"/>
  </w:style>
  <w:style w:type="paragraph" w:styleId="11">
    <w:name w:val="Salutation"/>
    <w:basedOn w:val="1"/>
    <w:next w:val="1"/>
    <w:qFormat/>
    <w:uiPriority w:val="0"/>
  </w:style>
  <w:style w:type="paragraph" w:styleId="12">
    <w:name w:val="Body Text Indent"/>
    <w:basedOn w:val="1"/>
    <w:qFormat/>
    <w:uiPriority w:val="0"/>
    <w:pPr>
      <w:spacing w:after="120"/>
      <w:ind w:left="420" w:leftChars="200"/>
    </w:pPr>
    <w:rPr>
      <w:rFonts w:eastAsia="宋体" w:cs="Times New Roman"/>
    </w:rPr>
  </w:style>
  <w:style w:type="paragraph" w:styleId="13">
    <w:name w:val="Block Text"/>
    <w:basedOn w:val="1"/>
    <w:qFormat/>
    <w:uiPriority w:val="0"/>
    <w:pPr>
      <w:autoSpaceDE w:val="0"/>
      <w:autoSpaceDN w:val="0"/>
      <w:adjustRightInd w:val="0"/>
      <w:spacing w:before="1" w:line="537" w:lineRule="exact"/>
      <w:ind w:left="88" w:right="6"/>
    </w:pPr>
    <w:rPr>
      <w:rFonts w:ascii="Times New Roman" w:hAnsi="Times New Roman" w:eastAsia="宋体" w:cs="Times New Roman"/>
      <w:kern w:val="0"/>
      <w:sz w:val="28"/>
      <w:szCs w:val="28"/>
    </w:rPr>
  </w:style>
  <w:style w:type="paragraph" w:styleId="14">
    <w:name w:val="Plain Text"/>
    <w:basedOn w:val="1"/>
    <w:next w:val="11"/>
    <w:qFormat/>
    <w:uiPriority w:val="0"/>
    <w:rPr>
      <w:rFonts w:ascii="宋体" w:hAnsi="Courier New"/>
      <w:kern w:val="0"/>
      <w:sz w:val="20"/>
      <w:szCs w:val="20"/>
    </w:rPr>
  </w:style>
  <w:style w:type="paragraph" w:styleId="15">
    <w:name w:val="Body Text Indent 2"/>
    <w:basedOn w:val="1"/>
    <w:qFormat/>
    <w:uiPriority w:val="0"/>
    <w:pPr>
      <w:tabs>
        <w:tab w:val="left" w:pos="0"/>
      </w:tabs>
      <w:ind w:firstLine="480"/>
    </w:pPr>
    <w:rPr>
      <w:sz w:val="24"/>
    </w:rPr>
  </w:style>
  <w:style w:type="paragraph" w:styleId="16">
    <w:name w:val="footer"/>
    <w:basedOn w:val="1"/>
    <w:link w:val="44"/>
    <w:qFormat/>
    <w:uiPriority w:val="0"/>
    <w:pPr>
      <w:tabs>
        <w:tab w:val="center" w:pos="4153"/>
        <w:tab w:val="right" w:pos="8306"/>
      </w:tabs>
      <w:snapToGrid w:val="0"/>
      <w:jc w:val="left"/>
    </w:pPr>
    <w:rPr>
      <w:sz w:val="18"/>
      <w:szCs w:val="18"/>
    </w:rPr>
  </w:style>
  <w:style w:type="paragraph" w:styleId="17">
    <w:name w:val="Body Text First Indent 2"/>
    <w:basedOn w:val="12"/>
    <w:next w:val="9"/>
    <w:qFormat/>
    <w:uiPriority w:val="0"/>
    <w:pPr>
      <w:ind w:firstLine="420" w:firstLineChars="200"/>
    </w:p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pacing w:line="360" w:lineRule="auto"/>
      <w:ind w:right="-53" w:firstLine="510"/>
    </w:pPr>
    <w:rPr>
      <w:rFonts w:ascii="Times New Roman" w:hAnsi="Times New Roman" w:cs="Times New Roman"/>
    </w:rPr>
  </w:style>
  <w:style w:type="paragraph" w:styleId="20">
    <w:name w:val="table of figures"/>
    <w:basedOn w:val="1"/>
    <w:next w:val="1"/>
    <w:unhideWhenUsed/>
    <w:qFormat/>
    <w:uiPriority w:val="99"/>
    <w:pPr>
      <w:ind w:left="200" w:leftChars="200" w:hanging="200" w:hangingChars="200"/>
    </w:pPr>
    <w:rPr>
      <w:szCs w:val="20"/>
    </w:rPr>
  </w:style>
  <w:style w:type="paragraph" w:styleId="21">
    <w:name w:val="Normal (Web)"/>
    <w:basedOn w:val="1"/>
    <w:qFormat/>
    <w:uiPriority w:val="0"/>
    <w:pPr>
      <w:spacing w:beforeAutospacing="1" w:afterAutospacing="1"/>
      <w:jc w:val="left"/>
    </w:pPr>
    <w:rPr>
      <w:rFonts w:cs="Times New Roman"/>
      <w:kern w:val="0"/>
      <w:sz w:val="24"/>
    </w:rPr>
  </w:style>
  <w:style w:type="character" w:styleId="23">
    <w:name w:val="HTML Variable"/>
    <w:qFormat/>
    <w:uiPriority w:val="0"/>
    <w:rPr>
      <w:i/>
      <w:iCs/>
    </w:rPr>
  </w:style>
  <w:style w:type="character" w:styleId="24">
    <w:name w:val="annotation reference"/>
    <w:basedOn w:val="22"/>
    <w:qFormat/>
    <w:uiPriority w:val="0"/>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样式 HC 正文 + 字距调整小四"/>
    <w:basedOn w:val="28"/>
    <w:next w:val="1"/>
    <w:qFormat/>
    <w:uiPriority w:val="0"/>
    <w:rPr>
      <w:kern w:val="24"/>
    </w:rPr>
  </w:style>
  <w:style w:type="paragraph" w:customStyle="1" w:styleId="28">
    <w:name w:val="HC 正文"/>
    <w:basedOn w:val="1"/>
    <w:qFormat/>
    <w:uiPriority w:val="0"/>
    <w:pPr>
      <w:autoSpaceDE w:val="0"/>
      <w:snapToGrid w:val="0"/>
      <w:ind w:firstLine="480"/>
    </w:pPr>
    <w:rPr>
      <w:color w:val="0000FF"/>
    </w:rPr>
  </w:style>
  <w:style w:type="paragraph" w:customStyle="1" w:styleId="29">
    <w:name w:val="正文（标准）"/>
    <w:basedOn w:val="1"/>
    <w:next w:val="1"/>
    <w:semiHidden/>
    <w:qFormat/>
    <w:uiPriority w:val="0"/>
    <w:pPr>
      <w:ind w:firstLine="525"/>
    </w:pPr>
    <w:rPr>
      <w:rFonts w:ascii="宋体" w:hAnsi="宋体" w:cs="Times New Roman"/>
    </w:rPr>
  </w:style>
  <w:style w:type="paragraph" w:customStyle="1" w:styleId="30">
    <w:name w:val="报告正文"/>
    <w:basedOn w:val="1"/>
    <w:next w:val="1"/>
    <w:qFormat/>
    <w:uiPriority w:val="0"/>
    <w:pPr>
      <w:adjustRightInd w:val="0"/>
      <w:snapToGrid w:val="0"/>
      <w:spacing w:before="120" w:beforeLines="50" w:after="120" w:afterLines="50"/>
    </w:pPr>
    <w:rPr>
      <w:rFonts w:ascii="Times New Roman" w:eastAsia="宋体"/>
      <w:spacing w:val="4"/>
      <w:sz w:val="24"/>
    </w:rPr>
  </w:style>
  <w:style w:type="paragraph" w:customStyle="1" w:styleId="31">
    <w:name w:val="报告书正文"/>
    <w:basedOn w:val="1"/>
    <w:link w:val="49"/>
    <w:qFormat/>
    <w:uiPriority w:val="0"/>
    <w:pPr>
      <w:spacing w:line="300" w:lineRule="auto"/>
      <w:ind w:firstLine="200" w:firstLineChars="200"/>
    </w:pPr>
    <w:rPr>
      <w:sz w:val="24"/>
      <w:szCs w:val="20"/>
    </w:rPr>
  </w:style>
  <w:style w:type="paragraph" w:customStyle="1" w:styleId="32">
    <w:name w:val="样式 宋体 黑色 左 左侧:  0.85 厘米 行距: 1.5 倍行距"/>
    <w:basedOn w:val="1"/>
    <w:qFormat/>
    <w:uiPriority w:val="0"/>
    <w:pPr>
      <w:spacing w:line="360" w:lineRule="auto"/>
      <w:jc w:val="left"/>
    </w:pPr>
    <w:rPr>
      <w:rFonts w:ascii="宋体" w:hAnsi="宋体" w:cs="宋体"/>
      <w:color w:val="000000"/>
      <w:sz w:val="24"/>
      <w:szCs w:val="20"/>
    </w:rPr>
  </w:style>
  <w:style w:type="paragraph" w:customStyle="1" w:styleId="33">
    <w:name w:val="正文2"/>
    <w:basedOn w:val="1"/>
    <w:next w:val="1"/>
    <w:qFormat/>
    <w:uiPriority w:val="0"/>
    <w:pPr>
      <w:adjustRightInd w:val="0"/>
      <w:snapToGrid w:val="0"/>
      <w:spacing w:line="360" w:lineRule="auto"/>
      <w:ind w:firstLine="200" w:firstLineChars="200"/>
    </w:pPr>
    <w:rPr>
      <w:rFonts w:eastAsia="宋体" w:cs="宋体"/>
      <w:sz w:val="28"/>
      <w:szCs w:val="28"/>
    </w:rPr>
  </w:style>
  <w:style w:type="paragraph" w:customStyle="1" w:styleId="34">
    <w:name w:val="内容"/>
    <w:basedOn w:val="1"/>
    <w:qFormat/>
    <w:uiPriority w:val="0"/>
    <w:pPr>
      <w:tabs>
        <w:tab w:val="left" w:pos="4404"/>
      </w:tabs>
      <w:ind w:firstLine="520" w:firstLineChars="200"/>
    </w:pPr>
    <w:rPr>
      <w:rFonts w:hAnsi="宋体"/>
      <w:szCs w:val="26"/>
    </w:rPr>
  </w:style>
  <w:style w:type="paragraph" w:customStyle="1" w:styleId="35">
    <w:name w:val="赵"/>
    <w:basedOn w:val="1"/>
    <w:qFormat/>
    <w:uiPriority w:val="0"/>
    <w:pPr>
      <w:spacing w:line="360" w:lineRule="auto"/>
      <w:ind w:firstLine="200" w:firstLineChars="200"/>
    </w:pPr>
    <w:rPr>
      <w:rFonts w:ascii="Calibri" w:hAnsi="Calibri"/>
      <w:sz w:val="24"/>
      <w:szCs w:val="30"/>
    </w:rPr>
  </w:style>
  <w:style w:type="paragraph" w:customStyle="1" w:styleId="36">
    <w:name w:val="_Style 2"/>
    <w:basedOn w:val="1"/>
    <w:qFormat/>
    <w:uiPriority w:val="34"/>
    <w:pPr>
      <w:ind w:firstLine="420" w:firstLineChars="200"/>
    </w:pPr>
    <w:rPr>
      <w:rFonts w:ascii="Calibri" w:hAnsi="Calibri"/>
      <w:szCs w:val="22"/>
    </w:rPr>
  </w:style>
  <w:style w:type="paragraph" w:customStyle="1" w:styleId="37">
    <w:name w:val="小四"/>
    <w:basedOn w:val="3"/>
    <w:qFormat/>
    <w:uiPriority w:val="0"/>
    <w:pPr>
      <w:keepNext w:val="0"/>
      <w:keepLines w:val="0"/>
    </w:pPr>
  </w:style>
  <w:style w:type="paragraph" w:customStyle="1" w:styleId="38">
    <w:name w:val="标题三"/>
    <w:basedOn w:val="1"/>
    <w:qFormat/>
    <w:uiPriority w:val="99"/>
    <w:pPr>
      <w:adjustRightInd w:val="0"/>
      <w:spacing w:line="360" w:lineRule="auto"/>
      <w:ind w:firstLine="176"/>
      <w:jc w:val="left"/>
      <w:textAlignment w:val="baseline"/>
      <w:outlineLvl w:val="2"/>
    </w:pPr>
    <w:rPr>
      <w:rFonts w:ascii="Times New Roman" w:hAnsi="Times New Roman"/>
      <w:b/>
      <w:kern w:val="0"/>
      <w:sz w:val="30"/>
    </w:rPr>
  </w:style>
  <w:style w:type="paragraph" w:customStyle="1" w:styleId="39">
    <w:name w:val="标题许来慧"/>
    <w:basedOn w:val="1"/>
    <w:qFormat/>
    <w:uiPriority w:val="0"/>
    <w:pPr>
      <w:ind w:firstLine="420" w:firstLineChars="200"/>
    </w:pPr>
    <w:rPr>
      <w:b/>
      <w:kern w:val="0"/>
      <w:sz w:val="20"/>
      <w:szCs w:val="21"/>
    </w:rPr>
  </w:style>
  <w:style w:type="paragraph" w:customStyle="1" w:styleId="40">
    <w:name w:val="[正文格式]"/>
    <w:basedOn w:val="1"/>
    <w:qFormat/>
    <w:uiPriority w:val="0"/>
    <w:pPr>
      <w:adjustRightInd w:val="0"/>
      <w:snapToGrid w:val="0"/>
      <w:spacing w:line="360" w:lineRule="auto"/>
      <w:ind w:firstLine="200" w:firstLineChars="200"/>
    </w:pPr>
    <w:rPr>
      <w:snapToGrid w:val="0"/>
      <w:kern w:val="0"/>
      <w:sz w:val="24"/>
      <w:szCs w:val="20"/>
    </w:rPr>
  </w:style>
  <w:style w:type="paragraph" w:customStyle="1" w:styleId="41">
    <w:name w:val="！正文"/>
    <w:basedOn w:val="1"/>
    <w:qFormat/>
    <w:uiPriority w:val="0"/>
    <w:pPr>
      <w:widowControl/>
      <w:spacing w:line="360" w:lineRule="auto"/>
      <w:ind w:firstLine="480" w:firstLineChars="200"/>
    </w:pPr>
    <w:rPr>
      <w:rFonts w:ascii="Arial" w:hAnsi="Arial"/>
      <w:sz w:val="24"/>
    </w:rPr>
  </w:style>
  <w:style w:type="paragraph" w:customStyle="1" w:styleId="42">
    <w:name w:val="+正文"/>
    <w:basedOn w:val="1"/>
    <w:qFormat/>
    <w:uiPriority w:val="0"/>
    <w:pPr>
      <w:spacing w:line="360" w:lineRule="auto"/>
      <w:ind w:firstLine="200" w:firstLineChars="200"/>
    </w:pPr>
    <w:rPr>
      <w:rFonts w:ascii="Times New Roman"/>
      <w:sz w:val="24"/>
      <w:szCs w:val="28"/>
    </w:rPr>
  </w:style>
  <w:style w:type="character" w:customStyle="1" w:styleId="43">
    <w:name w:val="页眉 Char"/>
    <w:basedOn w:val="22"/>
    <w:link w:val="18"/>
    <w:qFormat/>
    <w:uiPriority w:val="0"/>
    <w:rPr>
      <w:rFonts w:asciiTheme="minorHAnsi" w:hAnsiTheme="minorHAnsi" w:eastAsiaTheme="minorEastAsia" w:cstheme="minorBidi"/>
      <w:kern w:val="2"/>
      <w:sz w:val="18"/>
      <w:szCs w:val="18"/>
    </w:rPr>
  </w:style>
  <w:style w:type="character" w:customStyle="1" w:styleId="44">
    <w:name w:val="页脚 Char"/>
    <w:basedOn w:val="22"/>
    <w:link w:val="16"/>
    <w:qFormat/>
    <w:uiPriority w:val="0"/>
    <w:rPr>
      <w:rFonts w:asciiTheme="minorHAnsi" w:hAnsiTheme="minorHAnsi" w:eastAsiaTheme="minorEastAsia" w:cstheme="minorBidi"/>
      <w:kern w:val="2"/>
      <w:sz w:val="18"/>
      <w:szCs w:val="18"/>
    </w:rPr>
  </w:style>
  <w:style w:type="character" w:customStyle="1" w:styleId="45">
    <w:name w:val="标题 5 Char"/>
    <w:basedOn w:val="22"/>
    <w:link w:val="8"/>
    <w:qFormat/>
    <w:uiPriority w:val="0"/>
    <w:rPr>
      <w:rFonts w:asciiTheme="minorHAnsi" w:hAnsiTheme="minorHAnsi" w:eastAsiaTheme="minorEastAsia" w:cstheme="minorBidi"/>
      <w:b/>
      <w:bCs/>
      <w:kern w:val="2"/>
      <w:sz w:val="28"/>
      <w:szCs w:val="28"/>
    </w:rPr>
  </w:style>
  <w:style w:type="paragraph" w:customStyle="1" w:styleId="46">
    <w:name w:val="文本 首行缩进:  2 字符"/>
    <w:basedOn w:val="1"/>
    <w:link w:val="47"/>
    <w:qFormat/>
    <w:uiPriority w:val="0"/>
    <w:pPr>
      <w:adjustRightInd w:val="0"/>
    </w:pPr>
    <w:rPr>
      <w:szCs w:val="20"/>
    </w:rPr>
  </w:style>
  <w:style w:type="character" w:customStyle="1" w:styleId="47">
    <w:name w:val="文本 首行缩进:  2 字符 Char"/>
    <w:link w:val="46"/>
    <w:qFormat/>
    <w:locked/>
    <w:uiPriority w:val="0"/>
    <w:rPr>
      <w:rFonts w:asciiTheme="minorHAnsi" w:hAnsiTheme="minorHAnsi" w:eastAsiaTheme="minorEastAsia" w:cstheme="minorBidi"/>
      <w:kern w:val="2"/>
      <w:sz w:val="21"/>
    </w:rPr>
  </w:style>
  <w:style w:type="character" w:customStyle="1" w:styleId="48">
    <w:name w:val="样式 加粗 下划线"/>
    <w:qFormat/>
    <w:uiPriority w:val="0"/>
    <w:rPr>
      <w:rFonts w:ascii="Times New Roman" w:hAnsi="Times New Roman" w:eastAsia="宋体"/>
      <w:b/>
      <w:bCs/>
      <w:color w:val="auto"/>
      <w:sz w:val="24"/>
      <w:u w:val="none"/>
    </w:rPr>
  </w:style>
  <w:style w:type="character" w:customStyle="1" w:styleId="49">
    <w:name w:val="报告书正文 Char2"/>
    <w:link w:val="31"/>
    <w:qFormat/>
    <w:uiPriority w:val="0"/>
    <w:rPr>
      <w:rFonts w:asciiTheme="minorHAnsi" w:hAnsiTheme="minorHAnsi" w:eastAsiaTheme="minorEastAsia" w:cstheme="minorBidi"/>
      <w:kern w:val="2"/>
      <w:sz w:val="24"/>
    </w:rPr>
  </w:style>
  <w:style w:type="paragraph" w:customStyle="1" w:styleId="50">
    <w:name w:val="正本文字"/>
    <w:basedOn w:val="1"/>
    <w:qFormat/>
    <w:uiPriority w:val="0"/>
    <w:pPr>
      <w:adjustRightInd w:val="0"/>
      <w:snapToGrid w:val="0"/>
      <w:spacing w:line="360" w:lineRule="auto"/>
      <w:ind w:firstLine="200" w:firstLineChars="200"/>
      <w:jc w:val="left"/>
    </w:pPr>
    <w:rPr>
      <w:rFonts w:cs="宋体"/>
      <w:kern w:val="18"/>
      <w:sz w:val="24"/>
      <w:szCs w:val="20"/>
    </w:rPr>
  </w:style>
  <w:style w:type="paragraph" w:customStyle="1" w:styleId="51">
    <w:name w:val="表格标题 (5)"/>
    <w:basedOn w:val="1"/>
    <w:qFormat/>
    <w:uiPriority w:val="0"/>
    <w:pPr>
      <w:shd w:val="clear" w:color="auto" w:fill="FFFFFF"/>
      <w:spacing w:line="456" w:lineRule="exact"/>
      <w:ind w:firstLine="860"/>
    </w:pPr>
    <w:rPr>
      <w:rFonts w:ascii="宋体" w:hAnsi="宋体"/>
      <w:sz w:val="22"/>
      <w:szCs w:val="22"/>
    </w:rPr>
  </w:style>
  <w:style w:type="character" w:customStyle="1" w:styleId="52">
    <w:name w:val="表格内容 Char"/>
    <w:link w:val="53"/>
    <w:qFormat/>
    <w:uiPriority w:val="0"/>
    <w:rPr>
      <w:rFonts w:ascii="Times New Roman" w:hAnsi="Times New Roman"/>
    </w:rPr>
  </w:style>
  <w:style w:type="paragraph" w:customStyle="1" w:styleId="53">
    <w:name w:val="表格内容"/>
    <w:basedOn w:val="1"/>
    <w:link w:val="52"/>
    <w:qFormat/>
    <w:uiPriority w:val="0"/>
    <w:pPr>
      <w:adjustRightInd w:val="0"/>
      <w:snapToGrid w:val="0"/>
      <w:jc w:val="center"/>
    </w:pPr>
    <w:rPr>
      <w:rFonts w:ascii="Times New Roman" w:hAnsi="Times New Roman"/>
    </w:rPr>
  </w:style>
  <w:style w:type="paragraph" w:customStyle="1" w:styleId="54">
    <w:name w:val="表标题"/>
    <w:next w:val="1"/>
    <w:qFormat/>
    <w:uiPriority w:val="0"/>
    <w:pPr>
      <w:spacing w:line="360" w:lineRule="auto"/>
      <w:jc w:val="center"/>
    </w:pPr>
    <w:rPr>
      <w:rFonts w:ascii="Times New Roman" w:hAnsi="Times New Roman" w:eastAsia="宋体" w:cs="宋体"/>
      <w:b/>
      <w:kern w:val="2"/>
      <w:sz w:val="24"/>
      <w:szCs w:val="24"/>
      <w:lang w:val="en-US" w:eastAsia="zh-CN" w:bidi="ar-SA"/>
    </w:rPr>
  </w:style>
  <w:style w:type="paragraph" w:customStyle="1" w:styleId="55">
    <w:name w:val="环评正文（ZJU）"/>
    <w:basedOn w:val="1"/>
    <w:semiHidden/>
    <w:qFormat/>
    <w:uiPriority w:val="0"/>
    <w:pPr>
      <w:spacing w:line="440" w:lineRule="exact"/>
      <w:ind w:firstLine="200" w:firstLineChars="200"/>
    </w:pPr>
    <w:rPr>
      <w:rFonts w:eastAsia="仿宋_GB2312"/>
      <w:sz w:val="24"/>
    </w:rPr>
  </w:style>
  <w:style w:type="paragraph" w:customStyle="1" w:styleId="56">
    <w:name w:val="Table Paragraph"/>
    <w:basedOn w:val="1"/>
    <w:unhideWhenUsed/>
    <w:qFormat/>
    <w:uiPriority w:val="1"/>
    <w:rPr>
      <w:sz w:val="24"/>
    </w:rPr>
  </w:style>
  <w:style w:type="paragraph" w:customStyle="1" w:styleId="57">
    <w:name w:val="表格文字"/>
    <w:basedOn w:val="1"/>
    <w:qFormat/>
    <w:uiPriority w:val="0"/>
    <w:pPr>
      <w:jc w:val="center"/>
    </w:pPr>
  </w:style>
  <w:style w:type="character" w:customStyle="1" w:styleId="58">
    <w:name w:val="表格文字 Char"/>
    <w:qFormat/>
    <w:uiPriority w:val="0"/>
    <w:rPr>
      <w:rFonts w:ascii="Times New Roman" w:hAnsi="Times New Roman" w:eastAsia="宋体" w:cs="Times New Roman"/>
      <w:szCs w:val="24"/>
    </w:rPr>
  </w:style>
  <w:style w:type="paragraph" w:customStyle="1" w:styleId="59">
    <w:name w:val="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60">
    <w:name w:val="表格"/>
    <w:basedOn w:val="1"/>
    <w:link w:val="61"/>
    <w:qFormat/>
    <w:uiPriority w:val="0"/>
    <w:pPr>
      <w:widowControl/>
      <w:jc w:val="center"/>
    </w:pPr>
    <w:rPr>
      <w:rFonts w:ascii="Times New Roman" w:hAnsi="Times New Roman" w:eastAsia="宋体" w:cs="Times New Roman"/>
      <w:lang w:val="zh-CN"/>
    </w:rPr>
  </w:style>
  <w:style w:type="character" w:customStyle="1" w:styleId="61">
    <w:name w:val="表格 Char"/>
    <w:link w:val="60"/>
    <w:qFormat/>
    <w:uiPriority w:val="0"/>
    <w:rPr>
      <w:kern w:val="2"/>
      <w:sz w:val="21"/>
      <w:szCs w:val="24"/>
      <w:lang w:val="zh-CN"/>
    </w:rPr>
  </w:style>
  <w:style w:type="paragraph" w:customStyle="1" w:styleId="62">
    <w:name w:val="无间隔1"/>
    <w:qFormat/>
    <w:uiPriority w:val="1"/>
    <w:pPr>
      <w:widowControl w:val="0"/>
      <w:spacing w:line="360" w:lineRule="auto"/>
      <w:ind w:firstLine="200" w:firstLineChars="200"/>
      <w:jc w:val="both"/>
    </w:pPr>
    <w:rPr>
      <w:rFonts w:ascii="Times New Roman" w:hAnsi="Times New Roman" w:eastAsiaTheme="minorEastAsia" w:cstheme="minorBidi"/>
      <w:b/>
      <w:kern w:val="2"/>
      <w:sz w:val="24"/>
      <w:szCs w:val="22"/>
      <w:lang w:val="en-US" w:eastAsia="zh-CN" w:bidi="ar-SA"/>
    </w:rPr>
  </w:style>
  <w:style w:type="paragraph" w:customStyle="1" w:styleId="63">
    <w:name w:val="正文啊"/>
    <w:basedOn w:val="64"/>
    <w:link w:val="65"/>
    <w:qFormat/>
    <w:uiPriority w:val="0"/>
    <w:pPr>
      <w:spacing w:line="360" w:lineRule="auto"/>
      <w:ind w:firstLine="200" w:firstLineChars="200"/>
    </w:pPr>
    <w:rPr>
      <w:rFonts w:ascii="Times New Roman" w:hAnsi="Times New Roman" w:eastAsia="宋体" w:cs="Times New Roman"/>
      <w:sz w:val="24"/>
      <w:szCs w:val="22"/>
    </w:rPr>
  </w:style>
  <w:style w:type="paragraph" w:styleId="64">
    <w:name w:val="No Spacing"/>
    <w:qFormat/>
    <w:uiPriority w:val="99"/>
    <w:pPr>
      <w:widowControl w:val="0"/>
      <w:jc w:val="both"/>
    </w:pPr>
    <w:rPr>
      <w:rFonts w:asciiTheme="minorHAnsi" w:hAnsiTheme="minorHAnsi" w:eastAsiaTheme="minorEastAsia" w:cstheme="minorBidi"/>
      <w:kern w:val="2"/>
      <w:sz w:val="21"/>
      <w:szCs w:val="24"/>
      <w:lang w:val="en-US" w:eastAsia="zh-CN" w:bidi="ar-SA"/>
    </w:rPr>
  </w:style>
  <w:style w:type="character" w:customStyle="1" w:styleId="65">
    <w:name w:val="正文啊 字符"/>
    <w:basedOn w:val="22"/>
    <w:link w:val="63"/>
    <w:qFormat/>
    <w:uiPriority w:val="0"/>
    <w:rPr>
      <w:kern w:val="2"/>
      <w:sz w:val="24"/>
      <w:szCs w:val="22"/>
    </w:rPr>
  </w:style>
  <w:style w:type="paragraph" w:customStyle="1" w:styleId="66">
    <w:name w:val="Char Char Char Char"/>
    <w:basedOn w:val="1"/>
    <w:qFormat/>
    <w:uiPriority w:val="0"/>
  </w:style>
  <w:style w:type="character" w:customStyle="1" w:styleId="67">
    <w:name w:val="标题 3 Char1"/>
    <w:qFormat/>
    <w:uiPriority w:val="0"/>
    <w:rPr>
      <w:rFonts w:ascii="宋体" w:hAnsi="宋体" w:eastAsia="宋体"/>
      <w:b/>
      <w:color w:val="000000"/>
      <w:kern w:val="2"/>
      <w:sz w:val="24"/>
      <w:lang w:val="en-US" w:eastAsia="zh-CN"/>
    </w:rPr>
  </w:style>
  <w:style w:type="paragraph" w:customStyle="1" w:styleId="68">
    <w:name w:val="sb-正文"/>
    <w:basedOn w:val="1"/>
    <w:qFormat/>
    <w:uiPriority w:val="0"/>
    <w:pPr>
      <w:tabs>
        <w:tab w:val="left" w:pos="3120"/>
        <w:tab w:val="left" w:pos="6376"/>
      </w:tabs>
      <w:ind w:firstLine="480" w:firstLineChars="200"/>
    </w:pPr>
    <w:rPr>
      <w:rFonts w:ascii="宋体" w:hAnsi="宋体" w:cs="宋体"/>
    </w:rPr>
  </w:style>
  <w:style w:type="paragraph" w:customStyle="1" w:styleId="69">
    <w:name w:val="F正文"/>
    <w:basedOn w:val="1"/>
    <w:qFormat/>
    <w:uiPriority w:val="0"/>
    <w:pPr>
      <w:ind w:firstLine="200" w:firstLineChars="200"/>
    </w:pPr>
    <w:rPr>
      <w:rFonts w:ascii="宋体" w:hAnsi="宋体" w:eastAsia="宋体"/>
      <w:sz w:val="24"/>
    </w:rPr>
  </w:style>
  <w:style w:type="paragraph" w:customStyle="1" w:styleId="70">
    <w:name w:val="样式 (符号) 宋体 小四 行距: 1.5 倍行距"/>
    <w:basedOn w:val="1"/>
    <w:qFormat/>
    <w:uiPriority w:val="0"/>
    <w:pPr>
      <w:spacing w:line="360" w:lineRule="auto"/>
      <w:ind w:firstLine="480" w:firstLineChars="200"/>
    </w:pPr>
    <w:rPr>
      <w:rFonts w:hAnsi="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802</Words>
  <Characters>4574</Characters>
  <Lines>38</Lines>
  <Paragraphs>10</Paragraphs>
  <ScaleCrop>false</ScaleCrop>
  <LinksUpToDate>false</LinksUpToDate>
  <CharactersWithSpaces>5366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2022-11-07T02:00:00Z</dcterms:created>
  <dc:creator>hp</dc:creator>
  <cp:lastModifiedBy>Administrator</cp:lastModifiedBy>
  <dcterms:modified xsi:type="dcterms:W3CDTF">2022-11-15T08:47:23Z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B3E0B15E4E8E4602A6C3366A064BEBE4</vt:lpwstr>
  </property>
</Properties>
</file>